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42C6" w14:textId="361B2A5E" w:rsidR="00617FA2" w:rsidRDefault="00F26941" w:rsidP="0041186F">
      <w:pPr>
        <w:jc w:val="center"/>
        <w:rPr>
          <w:rFonts w:ascii="garamond" w:hAnsi="garamond"/>
          <w:color w:val="000000" w:themeColor="text1"/>
        </w:rPr>
      </w:pPr>
      <w:r w:rsidRPr="001C2338">
        <w:rPr>
          <w:rFonts w:ascii="garamond" w:hAnsi="garamond"/>
          <w:color w:val="000000" w:themeColor="text1"/>
        </w:rPr>
        <w:t xml:space="preserve">Shifting Ground: </w:t>
      </w:r>
      <w:r w:rsidR="007B65B2">
        <w:rPr>
          <w:rFonts w:ascii="garamond" w:hAnsi="garamond"/>
          <w:color w:val="000000" w:themeColor="text1"/>
        </w:rPr>
        <w:t>Protest Occupations</w:t>
      </w:r>
      <w:r w:rsidR="00B476F8">
        <w:rPr>
          <w:rFonts w:ascii="garamond" w:hAnsi="garamond"/>
          <w:color w:val="000000" w:themeColor="text1"/>
        </w:rPr>
        <w:t xml:space="preserve"> as Worldmaking Practices</w:t>
      </w:r>
    </w:p>
    <w:p w14:paraId="1523C845" w14:textId="759089AC" w:rsidR="00617FA2" w:rsidRPr="001C2338" w:rsidRDefault="006C75A9" w:rsidP="00522A77">
      <w:pPr>
        <w:jc w:val="center"/>
        <w:rPr>
          <w:rFonts w:ascii="garamond" w:hAnsi="garamond"/>
          <w:color w:val="000000" w:themeColor="text1"/>
        </w:rPr>
      </w:pPr>
      <w:r>
        <w:rPr>
          <w:rFonts w:ascii="garamond" w:hAnsi="garamond"/>
          <w:color w:val="000000" w:themeColor="text1"/>
        </w:rPr>
        <w:t>August</w:t>
      </w:r>
      <w:r w:rsidR="00EF2A52">
        <w:rPr>
          <w:rFonts w:ascii="garamond" w:hAnsi="garamond"/>
          <w:color w:val="000000" w:themeColor="text1"/>
        </w:rPr>
        <w:t xml:space="preserve"> 2024 draft</w:t>
      </w:r>
    </w:p>
    <w:p w14:paraId="51D0DC83" w14:textId="5ADA4202" w:rsidR="00DB47F8" w:rsidRPr="001C2338" w:rsidRDefault="00DB47F8" w:rsidP="00522A77">
      <w:pPr>
        <w:jc w:val="center"/>
        <w:rPr>
          <w:rFonts w:ascii="garamond" w:hAnsi="garamond"/>
          <w:color w:val="000000" w:themeColor="text1"/>
        </w:rPr>
      </w:pPr>
      <w:r w:rsidRPr="001C2338">
        <w:rPr>
          <w:rFonts w:ascii="garamond" w:hAnsi="garamond"/>
          <w:color w:val="000000" w:themeColor="text1"/>
        </w:rPr>
        <w:t>Celia Eckert</w:t>
      </w:r>
      <w:r w:rsidR="00D778D7">
        <w:rPr>
          <w:rFonts w:ascii="garamond" w:hAnsi="garamond"/>
          <w:color w:val="000000" w:themeColor="text1"/>
        </w:rPr>
        <w:t>,</w:t>
      </w:r>
      <w:r w:rsidR="00D778D7">
        <w:rPr>
          <w:rStyle w:val="FootnoteReference"/>
          <w:rFonts w:ascii="garamond" w:hAnsi="garamond"/>
          <w:color w:val="000000" w:themeColor="text1"/>
        </w:rPr>
        <w:footnoteReference w:id="1"/>
      </w:r>
      <w:r w:rsidR="00D778D7">
        <w:rPr>
          <w:rFonts w:ascii="garamond" w:hAnsi="garamond"/>
          <w:color w:val="000000" w:themeColor="text1"/>
        </w:rPr>
        <w:t xml:space="preserve"> </w:t>
      </w:r>
      <w:r w:rsidR="00D778D7" w:rsidRPr="008B042B">
        <w:rPr>
          <w:rFonts w:ascii="garamond" w:hAnsi="garamond"/>
          <w:i/>
          <w:iCs/>
          <w:color w:val="000000" w:themeColor="text1"/>
        </w:rPr>
        <w:t>Harvard University</w:t>
      </w:r>
    </w:p>
    <w:p w14:paraId="1C49A735" w14:textId="77777777" w:rsidR="00F81217" w:rsidRDefault="00F81217" w:rsidP="007438AC">
      <w:pPr>
        <w:ind w:firstLine="720"/>
        <w:rPr>
          <w:rFonts w:ascii="garamond" w:hAnsi="garamond"/>
          <w:color w:val="000000" w:themeColor="text1"/>
        </w:rPr>
      </w:pPr>
    </w:p>
    <w:p w14:paraId="1869D066" w14:textId="40C26DC5" w:rsidR="0065225C" w:rsidRDefault="0065225C" w:rsidP="007438AC">
      <w:pPr>
        <w:ind w:firstLine="720"/>
        <w:rPr>
          <w:rFonts w:ascii="garamond" w:hAnsi="garamond"/>
          <w:color w:val="000000" w:themeColor="text1"/>
        </w:rPr>
      </w:pPr>
      <w:r>
        <w:rPr>
          <w:rFonts w:ascii="garamond" w:hAnsi="garamond"/>
          <w:color w:val="000000" w:themeColor="text1"/>
        </w:rPr>
        <w:t>In late summer of 201</w:t>
      </w:r>
      <w:r w:rsidR="009939EA">
        <w:rPr>
          <w:rFonts w:ascii="garamond" w:hAnsi="garamond"/>
          <w:color w:val="000000" w:themeColor="text1"/>
        </w:rPr>
        <w:t>6</w:t>
      </w:r>
      <w:r>
        <w:rPr>
          <w:rFonts w:ascii="garamond" w:hAnsi="garamond"/>
          <w:color w:val="000000" w:themeColor="text1"/>
        </w:rPr>
        <w:t xml:space="preserve">, activists erected a loose collection of tents on an empty lot </w:t>
      </w:r>
      <w:r w:rsidRPr="001C2338">
        <w:rPr>
          <w:rFonts w:ascii="garamond" w:hAnsi="garamond"/>
          <w:color w:val="000000" w:themeColor="text1"/>
        </w:rPr>
        <w:t>in the North Lawndale neighborhood of Chicago</w:t>
      </w:r>
      <w:r w:rsidR="000E7793">
        <w:rPr>
          <w:rFonts w:ascii="garamond" w:hAnsi="garamond"/>
          <w:color w:val="000000" w:themeColor="text1"/>
        </w:rPr>
        <w:t xml:space="preserve"> </w:t>
      </w:r>
      <w:r>
        <w:rPr>
          <w:rFonts w:ascii="garamond" w:hAnsi="garamond"/>
          <w:color w:val="000000" w:themeColor="text1"/>
        </w:rPr>
        <w:t>and dubbed it ‘</w:t>
      </w:r>
      <w:r w:rsidRPr="001C2338">
        <w:rPr>
          <w:rFonts w:ascii="garamond" w:hAnsi="garamond"/>
          <w:color w:val="000000" w:themeColor="text1"/>
        </w:rPr>
        <w:t>Freedom Square</w:t>
      </w:r>
      <w:r>
        <w:rPr>
          <w:rFonts w:ascii="garamond" w:hAnsi="garamond"/>
          <w:color w:val="000000" w:themeColor="text1"/>
        </w:rPr>
        <w:t>.’</w:t>
      </w:r>
      <w:r w:rsidRPr="001C2338">
        <w:rPr>
          <w:rFonts w:ascii="garamond" w:hAnsi="garamond"/>
          <w:color w:val="000000" w:themeColor="text1"/>
        </w:rPr>
        <w:t xml:space="preserve"> </w:t>
      </w:r>
      <w:r>
        <w:rPr>
          <w:rFonts w:ascii="garamond" w:hAnsi="garamond"/>
          <w:color w:val="000000" w:themeColor="text1"/>
        </w:rPr>
        <w:t xml:space="preserve">Some tents were for sleeping, others for distributing goods like books or food, and others provided shelter from rain and sun. </w:t>
      </w:r>
      <w:r w:rsidRPr="001C2338">
        <w:rPr>
          <w:rFonts w:ascii="garamond" w:hAnsi="garamond"/>
          <w:color w:val="000000" w:themeColor="text1"/>
        </w:rPr>
        <w:t>People from the neighborhood trickled in and out</w:t>
      </w:r>
      <w:r>
        <w:rPr>
          <w:rFonts w:ascii="garamond" w:hAnsi="garamond"/>
          <w:color w:val="000000" w:themeColor="text1"/>
        </w:rPr>
        <w:t xml:space="preserve"> of the occupation</w:t>
      </w:r>
      <w:r w:rsidRPr="001C2338">
        <w:rPr>
          <w:rFonts w:ascii="garamond" w:hAnsi="garamond"/>
          <w:color w:val="000000" w:themeColor="text1"/>
        </w:rPr>
        <w:t>, children stopped by to participate in artmaking classes, some folks picked up fresh produce free of charge, and others dropped off donations.</w:t>
      </w:r>
      <w:r>
        <w:rPr>
          <w:rFonts w:ascii="garamond" w:hAnsi="garamond"/>
          <w:color w:val="000000" w:themeColor="text1"/>
        </w:rPr>
        <w:t xml:space="preserve"> </w:t>
      </w:r>
      <w:r w:rsidRPr="001C2338">
        <w:rPr>
          <w:rFonts w:ascii="garamond" w:hAnsi="garamond"/>
          <w:color w:val="000000" w:themeColor="text1"/>
        </w:rPr>
        <w:t xml:space="preserve">The </w:t>
      </w:r>
      <w:r>
        <w:rPr>
          <w:rFonts w:ascii="garamond" w:hAnsi="garamond"/>
          <w:color w:val="000000" w:themeColor="text1"/>
        </w:rPr>
        <w:t xml:space="preserve">activists advocated </w:t>
      </w:r>
      <w:r w:rsidRPr="001C2338">
        <w:rPr>
          <w:rFonts w:ascii="garamond" w:hAnsi="garamond"/>
          <w:color w:val="000000" w:themeColor="text1"/>
        </w:rPr>
        <w:t>prison abolition</w:t>
      </w:r>
      <w:r>
        <w:rPr>
          <w:rFonts w:ascii="garamond" w:hAnsi="garamond"/>
          <w:color w:val="000000" w:themeColor="text1"/>
        </w:rPr>
        <w:t xml:space="preserve">, and the </w:t>
      </w:r>
      <w:r w:rsidR="008A224C">
        <w:rPr>
          <w:rFonts w:ascii="garamond" w:hAnsi="garamond"/>
          <w:color w:val="000000" w:themeColor="text1"/>
        </w:rPr>
        <w:t xml:space="preserve">imposing </w:t>
      </w:r>
      <w:r>
        <w:rPr>
          <w:rFonts w:ascii="garamond" w:hAnsi="garamond"/>
          <w:color w:val="000000" w:themeColor="text1"/>
        </w:rPr>
        <w:t>Chicago Police’s Homan Detention Center across the street posed a notable contrast with the protesters</w:t>
      </w:r>
      <w:r w:rsidR="008A224C">
        <w:rPr>
          <w:rFonts w:ascii="garamond" w:hAnsi="garamond"/>
          <w:color w:val="000000" w:themeColor="text1"/>
        </w:rPr>
        <w:t>’ tents</w:t>
      </w:r>
      <w:r w:rsidRPr="001C2338">
        <w:rPr>
          <w:rFonts w:ascii="garamond" w:hAnsi="garamond"/>
          <w:color w:val="000000" w:themeColor="text1"/>
        </w:rPr>
        <w:t>.</w:t>
      </w:r>
      <w:r w:rsidR="00814ECC">
        <w:rPr>
          <w:rFonts w:ascii="garamond" w:hAnsi="garamond"/>
          <w:color w:val="000000" w:themeColor="text1"/>
        </w:rPr>
        <w:t xml:space="preserve"> T</w:t>
      </w:r>
      <w:r w:rsidR="00814ECC">
        <w:rPr>
          <w:rFonts w:ascii="garamond" w:hAnsi="garamond"/>
          <w:color w:val="000000" w:themeColor="text1"/>
        </w:rPr>
        <w:t xml:space="preserve">he Freedom Square protest presents a puzzling </w:t>
      </w:r>
      <w:r w:rsidR="00814ECC">
        <w:rPr>
          <w:rFonts w:ascii="garamond" w:hAnsi="garamond"/>
          <w:color w:val="000000" w:themeColor="text1"/>
        </w:rPr>
        <w:t xml:space="preserve">question about what this occupation was </w:t>
      </w:r>
      <w:r w:rsidR="00814ECC" w:rsidRPr="00814ECC">
        <w:rPr>
          <w:rFonts w:ascii="garamond" w:hAnsi="garamond"/>
          <w:i/>
          <w:iCs/>
          <w:color w:val="000000" w:themeColor="text1"/>
        </w:rPr>
        <w:t>for</w:t>
      </w:r>
      <w:r w:rsidR="00814ECC">
        <w:rPr>
          <w:rFonts w:ascii="garamond" w:hAnsi="garamond"/>
          <w:color w:val="000000" w:themeColor="text1"/>
        </w:rPr>
        <w:t xml:space="preserve">. </w:t>
      </w:r>
      <w:r>
        <w:rPr>
          <w:rFonts w:ascii="garamond" w:hAnsi="garamond"/>
          <w:color w:val="000000" w:themeColor="text1"/>
        </w:rPr>
        <w:t>When we think about what protests do, we often think they do one or several of the following: raise awareness</w:t>
      </w:r>
      <w:r w:rsidR="000E0050">
        <w:rPr>
          <w:rFonts w:ascii="garamond" w:hAnsi="garamond"/>
          <w:color w:val="000000" w:themeColor="text1"/>
        </w:rPr>
        <w:t>,</w:t>
      </w:r>
      <w:r>
        <w:rPr>
          <w:rFonts w:ascii="garamond" w:hAnsi="garamond"/>
          <w:color w:val="000000" w:themeColor="text1"/>
        </w:rPr>
        <w:t xml:space="preserve"> express a position</w:t>
      </w:r>
      <w:r w:rsidR="000E0050">
        <w:rPr>
          <w:rFonts w:ascii="garamond" w:hAnsi="garamond"/>
          <w:color w:val="000000" w:themeColor="text1"/>
        </w:rPr>
        <w:t xml:space="preserve">, or </w:t>
      </w:r>
      <w:r>
        <w:rPr>
          <w:rFonts w:ascii="garamond" w:hAnsi="garamond"/>
          <w:color w:val="000000" w:themeColor="text1"/>
        </w:rPr>
        <w:t xml:space="preserve">prevent implementation of a law or policy. </w:t>
      </w:r>
      <w:r w:rsidR="000E0050">
        <w:rPr>
          <w:rFonts w:ascii="garamond" w:hAnsi="garamond"/>
          <w:color w:val="000000" w:themeColor="text1"/>
        </w:rPr>
        <w:t xml:space="preserve">However, </w:t>
      </w:r>
      <w:r w:rsidR="00814ECC">
        <w:rPr>
          <w:rFonts w:ascii="garamond" w:hAnsi="garamond"/>
          <w:color w:val="000000" w:themeColor="text1"/>
        </w:rPr>
        <w:t xml:space="preserve">this protest did not seem well-suited to any of these goals. </w:t>
      </w:r>
      <w:r w:rsidR="000E0050">
        <w:rPr>
          <w:rFonts w:ascii="garamond" w:hAnsi="garamond"/>
          <w:color w:val="000000" w:themeColor="text1"/>
        </w:rPr>
        <w:t xml:space="preserve">If the activists sought to simply express their position in favor of prison abolition, they could do so more effectively by releasing a statement of principles or by organizing a speech expressing their critique of the Chicago prison system. While there were speeches made at Freedom Square, they were not a central activity; in fact, the clarity of their political program seemed to suffer from the </w:t>
      </w:r>
      <w:r w:rsidR="00814ECC">
        <w:rPr>
          <w:rFonts w:ascii="garamond" w:hAnsi="garamond"/>
          <w:color w:val="000000" w:themeColor="text1"/>
        </w:rPr>
        <w:t xml:space="preserve">wide </w:t>
      </w:r>
      <w:r w:rsidR="000E0050">
        <w:rPr>
          <w:rFonts w:ascii="garamond" w:hAnsi="garamond"/>
          <w:color w:val="000000" w:themeColor="text1"/>
        </w:rPr>
        <w:t>range of activities unfolding at Freedom Square</w:t>
      </w:r>
      <w:r w:rsidR="00814ECC">
        <w:rPr>
          <w:rFonts w:ascii="garamond" w:hAnsi="garamond"/>
          <w:color w:val="000000" w:themeColor="text1"/>
        </w:rPr>
        <w:t>—few explicitly related to prison abolition.</w:t>
      </w:r>
      <w:r w:rsidR="000E0050">
        <w:rPr>
          <w:rFonts w:ascii="garamond" w:hAnsi="garamond"/>
          <w:color w:val="000000" w:themeColor="text1"/>
        </w:rPr>
        <w:t xml:space="preserve"> If the activists sought to </w:t>
      </w:r>
      <w:r w:rsidR="00AA2297">
        <w:rPr>
          <w:rFonts w:ascii="garamond" w:hAnsi="garamond"/>
          <w:color w:val="000000" w:themeColor="text1"/>
        </w:rPr>
        <w:t>raise awareness</w:t>
      </w:r>
      <w:r w:rsidR="00814ECC">
        <w:rPr>
          <w:rFonts w:ascii="garamond" w:hAnsi="garamond"/>
          <w:color w:val="000000" w:themeColor="text1"/>
        </w:rPr>
        <w:t xml:space="preserve"> or garner broad public attention</w:t>
      </w:r>
      <w:r w:rsidR="00AA2297">
        <w:rPr>
          <w:rFonts w:ascii="garamond" w:hAnsi="garamond"/>
          <w:color w:val="000000" w:themeColor="text1"/>
        </w:rPr>
        <w:t>, then we might expect the occupation to be in a more central location, such as downtown Chicago, rather than in a disadvantaged neighborhood like North Lawndale. A</w:t>
      </w:r>
      <w:r w:rsidR="008A224C">
        <w:rPr>
          <w:rFonts w:ascii="garamond" w:hAnsi="garamond"/>
          <w:color w:val="000000" w:themeColor="text1"/>
        </w:rPr>
        <w:t xml:space="preserve"> different</w:t>
      </w:r>
      <w:r w:rsidR="00AA2297">
        <w:rPr>
          <w:rFonts w:ascii="garamond" w:hAnsi="garamond"/>
          <w:color w:val="000000" w:themeColor="text1"/>
        </w:rPr>
        <w:t xml:space="preserve"> form of protest, such as a march, would be more likely to draw in a crowd of supporters whose numbers would be more likely to draw media attention. As the protest was </w:t>
      </w:r>
      <w:r w:rsidR="00814ECC">
        <w:rPr>
          <w:rFonts w:ascii="garamond" w:hAnsi="garamond"/>
          <w:color w:val="000000" w:themeColor="text1"/>
        </w:rPr>
        <w:t xml:space="preserve">held </w:t>
      </w:r>
      <w:r w:rsidR="00AA2297">
        <w:rPr>
          <w:rFonts w:ascii="garamond" w:hAnsi="garamond"/>
          <w:color w:val="000000" w:themeColor="text1"/>
        </w:rPr>
        <w:t xml:space="preserve">on an empty lot, </w:t>
      </w:r>
      <w:r w:rsidR="00814ECC">
        <w:rPr>
          <w:rFonts w:ascii="garamond" w:hAnsi="garamond"/>
          <w:color w:val="000000" w:themeColor="text1"/>
        </w:rPr>
        <w:t>the</w:t>
      </w:r>
      <w:r w:rsidR="00AA2297">
        <w:rPr>
          <w:rFonts w:ascii="garamond" w:hAnsi="garamond"/>
          <w:color w:val="000000" w:themeColor="text1"/>
        </w:rPr>
        <w:t xml:space="preserve"> neighborhood</w:t>
      </w:r>
      <w:r w:rsidR="00814ECC">
        <w:rPr>
          <w:rFonts w:ascii="garamond" w:hAnsi="garamond"/>
          <w:color w:val="000000" w:themeColor="text1"/>
        </w:rPr>
        <w:t xml:space="preserve"> experienced little </w:t>
      </w:r>
      <w:r w:rsidR="000E7793">
        <w:rPr>
          <w:rFonts w:ascii="garamond" w:hAnsi="garamond"/>
          <w:color w:val="000000" w:themeColor="text1"/>
        </w:rPr>
        <w:t>interruption</w:t>
      </w:r>
      <w:r w:rsidR="00AA2297">
        <w:rPr>
          <w:rFonts w:ascii="garamond" w:hAnsi="garamond"/>
          <w:color w:val="000000" w:themeColor="text1"/>
        </w:rPr>
        <w:t>, and the activists were not preventing any policies from being enacted</w:t>
      </w:r>
      <w:r w:rsidR="00814ECC">
        <w:rPr>
          <w:rFonts w:ascii="garamond" w:hAnsi="garamond"/>
          <w:color w:val="000000" w:themeColor="text1"/>
        </w:rPr>
        <w:t xml:space="preserve"> and did not disrupt the functioning of the detention center across the street</w:t>
      </w:r>
      <w:r w:rsidR="00AA2297">
        <w:rPr>
          <w:rFonts w:ascii="garamond" w:hAnsi="garamond"/>
          <w:color w:val="000000" w:themeColor="text1"/>
        </w:rPr>
        <w:t xml:space="preserve">. </w:t>
      </w:r>
      <w:r w:rsidR="008A224C">
        <w:rPr>
          <w:rFonts w:ascii="garamond" w:hAnsi="garamond"/>
          <w:color w:val="000000" w:themeColor="text1"/>
        </w:rPr>
        <w:t xml:space="preserve">Instead, the protest space </w:t>
      </w:r>
      <w:r w:rsidR="00814ECC">
        <w:rPr>
          <w:rFonts w:ascii="garamond" w:hAnsi="garamond"/>
          <w:color w:val="000000" w:themeColor="text1"/>
        </w:rPr>
        <w:t xml:space="preserve">focused on creating space and </w:t>
      </w:r>
      <w:r w:rsidR="008A224C">
        <w:rPr>
          <w:rFonts w:ascii="garamond" w:hAnsi="garamond"/>
          <w:color w:val="000000" w:themeColor="text1"/>
        </w:rPr>
        <w:t>facilitat</w:t>
      </w:r>
      <w:r w:rsidR="00814ECC">
        <w:rPr>
          <w:rFonts w:ascii="garamond" w:hAnsi="garamond"/>
          <w:color w:val="000000" w:themeColor="text1"/>
        </w:rPr>
        <w:t>ing</w:t>
      </w:r>
      <w:r w:rsidR="008A224C">
        <w:rPr>
          <w:rFonts w:ascii="garamond" w:hAnsi="garamond"/>
          <w:color w:val="000000" w:themeColor="text1"/>
        </w:rPr>
        <w:t xml:space="preserve"> a range of activities not clearly connected with prison abolition. </w:t>
      </w:r>
      <w:r w:rsidR="00AA2297">
        <w:rPr>
          <w:rFonts w:ascii="garamond" w:hAnsi="garamond"/>
          <w:color w:val="000000" w:themeColor="text1"/>
        </w:rPr>
        <w:t xml:space="preserve">So how do we make sense of this protest, which is not seeking mass attention, not acting as a form of speech, and not </w:t>
      </w:r>
      <w:r w:rsidR="006E3695">
        <w:rPr>
          <w:rFonts w:ascii="garamond" w:hAnsi="garamond"/>
          <w:color w:val="000000" w:themeColor="text1"/>
        </w:rPr>
        <w:t>seeking</w:t>
      </w:r>
      <w:r w:rsidR="00AA2297">
        <w:rPr>
          <w:rFonts w:ascii="garamond" w:hAnsi="garamond"/>
          <w:color w:val="000000" w:themeColor="text1"/>
        </w:rPr>
        <w:t xml:space="preserve"> to prevent </w:t>
      </w:r>
      <w:r w:rsidR="006E3695">
        <w:rPr>
          <w:rFonts w:ascii="garamond" w:hAnsi="garamond"/>
          <w:color w:val="000000" w:themeColor="text1"/>
        </w:rPr>
        <w:t xml:space="preserve">or disrupt </w:t>
      </w:r>
      <w:r w:rsidR="00AA2297">
        <w:rPr>
          <w:rFonts w:ascii="garamond" w:hAnsi="garamond"/>
          <w:color w:val="000000" w:themeColor="text1"/>
        </w:rPr>
        <w:t xml:space="preserve">any specific activities? </w:t>
      </w:r>
    </w:p>
    <w:p w14:paraId="7B76DE65" w14:textId="1558F079" w:rsidR="00BD7BFF" w:rsidRPr="00814ECC" w:rsidRDefault="00AA2297" w:rsidP="00814ECC">
      <w:pPr>
        <w:ind w:firstLine="720"/>
        <w:rPr>
          <w:rFonts w:ascii="garamond" w:hAnsi="garamond"/>
          <w:color w:val="000000" w:themeColor="text1"/>
        </w:rPr>
      </w:pPr>
      <w:r>
        <w:rPr>
          <w:rFonts w:ascii="garamond" w:hAnsi="garamond"/>
          <w:color w:val="000000" w:themeColor="text1"/>
        </w:rPr>
        <w:t xml:space="preserve">This article argues that protest occupations like Freedom Square are doing </w:t>
      </w:r>
      <w:r w:rsidR="006E3695">
        <w:rPr>
          <w:rFonts w:ascii="garamond" w:hAnsi="garamond"/>
          <w:color w:val="000000" w:themeColor="text1"/>
        </w:rPr>
        <w:t>an</w:t>
      </w:r>
      <w:r>
        <w:rPr>
          <w:rFonts w:ascii="garamond" w:hAnsi="garamond"/>
          <w:color w:val="000000" w:themeColor="text1"/>
        </w:rPr>
        <w:t>other</w:t>
      </w:r>
      <w:r w:rsidR="006E3695">
        <w:rPr>
          <w:rFonts w:ascii="garamond" w:hAnsi="garamond"/>
          <w:color w:val="000000" w:themeColor="text1"/>
        </w:rPr>
        <w:t>, less recognized,</w:t>
      </w:r>
      <w:r>
        <w:rPr>
          <w:rFonts w:ascii="garamond" w:hAnsi="garamond"/>
          <w:color w:val="000000" w:themeColor="text1"/>
        </w:rPr>
        <w:t xml:space="preserve"> political thing: </w:t>
      </w:r>
      <w:r w:rsidR="00814ECC">
        <w:rPr>
          <w:rFonts w:ascii="garamond" w:hAnsi="garamond"/>
          <w:color w:val="000000" w:themeColor="text1"/>
        </w:rPr>
        <w:t>spacemaking.</w:t>
      </w:r>
      <w:r>
        <w:rPr>
          <w:rFonts w:ascii="garamond" w:hAnsi="garamond"/>
          <w:color w:val="000000" w:themeColor="text1"/>
        </w:rPr>
        <w:t xml:space="preserve"> </w:t>
      </w:r>
      <w:r w:rsidR="004030B2">
        <w:rPr>
          <w:rFonts w:ascii="garamond" w:hAnsi="garamond"/>
          <w:color w:val="000000" w:themeColor="text1"/>
        </w:rPr>
        <w:t xml:space="preserve">Protest occupations often rely on </w:t>
      </w:r>
      <w:r w:rsidR="00814ECC">
        <w:rPr>
          <w:rFonts w:ascii="garamond" w:hAnsi="garamond"/>
          <w:color w:val="000000" w:themeColor="text1"/>
        </w:rPr>
        <w:t>space</w:t>
      </w:r>
      <w:r w:rsidR="004030B2">
        <w:rPr>
          <w:rFonts w:ascii="garamond" w:hAnsi="garamond"/>
          <w:color w:val="000000" w:themeColor="text1"/>
        </w:rPr>
        <w:t xml:space="preserve">making as a political tactic, and </w:t>
      </w:r>
      <w:r w:rsidR="00814ECC">
        <w:rPr>
          <w:rFonts w:ascii="garamond" w:hAnsi="garamond"/>
          <w:color w:val="000000" w:themeColor="text1"/>
        </w:rPr>
        <w:t>it is a</w:t>
      </w:r>
      <w:r w:rsidR="006E3695">
        <w:rPr>
          <w:rFonts w:ascii="garamond" w:hAnsi="garamond"/>
          <w:color w:val="000000" w:themeColor="text1"/>
        </w:rPr>
        <w:t xml:space="preserve"> recurrent</w:t>
      </w:r>
      <w:r w:rsidR="004030B2">
        <w:rPr>
          <w:rFonts w:ascii="garamond" w:hAnsi="garamond"/>
          <w:color w:val="000000" w:themeColor="text1"/>
        </w:rPr>
        <w:t xml:space="preserve"> element of political contestation, used particularly often in the last several decades—most famously with the Occupy movement, and more recently with pro-Palestine campus occupations. </w:t>
      </w:r>
      <w:r w:rsidR="00466D94">
        <w:rPr>
          <w:rFonts w:ascii="garamond" w:hAnsi="garamond"/>
          <w:color w:val="000000" w:themeColor="text1"/>
        </w:rPr>
        <w:t xml:space="preserve">This piece focuses on two underappreciated roles that these protest spaces play in the tactical repertoire of contentious politics: refiguration and prefiguration. </w:t>
      </w:r>
      <w:r w:rsidR="00F65793">
        <w:rPr>
          <w:rFonts w:ascii="garamond" w:hAnsi="garamond"/>
        </w:rPr>
        <w:t xml:space="preserve">Spacemaking refigures the built environment by offering contrasting spatial arrangements, conducting habits and behaviors, and (re)framing experiences. Spacemaking can also be prefigurative by serving as immersive utopian experiments. Far from inert models, these protest spaces stretch our understanding of political possibility by serving as a live archive of alternative spatial arrangements, bearing the material authority of the already-built, and allowing participants to perform and enhabit political aspirations. In these ways, space-making reframes the present, and challenges our understanding of the horizons of political possibility. I argue that these refigurative and prefigurative practices should be considered worldmaking activities, drawing on Amia Srinivasan’s theory of worldmaking as the transformation </w:t>
      </w:r>
      <w:r w:rsidR="00F65793">
        <w:rPr>
          <w:rFonts w:ascii="garamond" w:hAnsi="garamond"/>
        </w:rPr>
        <w:lastRenderedPageBreak/>
        <w:t>of our representational practices</w:t>
      </w:r>
      <w:r w:rsidR="00466D94">
        <w:rPr>
          <w:rFonts w:ascii="garamond" w:hAnsi="garamond"/>
        </w:rPr>
        <w:t>, and an important tactic of political change</w:t>
      </w:r>
      <w:r w:rsidR="00F65793">
        <w:rPr>
          <w:rFonts w:ascii="garamond" w:hAnsi="garamond"/>
        </w:rPr>
        <w:t xml:space="preserve">. I examine two modest protest occupations on the South Side of Chicago in the last decade in order to show how activists use the material, symbolic, and kinesthetic elements of space to shift participants’ figuration of the </w:t>
      </w:r>
      <w:r w:rsidR="000E7793">
        <w:rPr>
          <w:rFonts w:ascii="garamond" w:hAnsi="garamond"/>
        </w:rPr>
        <w:t>present and</w:t>
      </w:r>
      <w:r w:rsidR="00F65793">
        <w:rPr>
          <w:rFonts w:ascii="garamond" w:hAnsi="garamond"/>
        </w:rPr>
        <w:t xml:space="preserve"> stretch their imagination about the future. These immersive worlds, though relatively minute and ephemeral, </w:t>
      </w:r>
      <w:r w:rsidR="00F65793">
        <w:rPr>
          <w:rFonts w:ascii="garamond" w:hAnsi="garamond"/>
        </w:rPr>
        <w:t xml:space="preserve">do important political work in </w:t>
      </w:r>
      <w:r w:rsidR="00643441">
        <w:rPr>
          <w:rFonts w:ascii="garamond" w:hAnsi="garamond"/>
        </w:rPr>
        <w:t xml:space="preserve">political experimentation and critically engaging with the built environment. </w:t>
      </w:r>
      <w:r w:rsidR="00F65793">
        <w:rPr>
          <w:rFonts w:ascii="garamond" w:hAnsi="garamond"/>
        </w:rPr>
        <w:t>This analysis</w:t>
      </w:r>
      <w:r w:rsidR="00F65793">
        <w:rPr>
          <w:rFonts w:ascii="garamond" w:hAnsi="garamond"/>
        </w:rPr>
        <w:t xml:space="preserve"> </w:t>
      </w:r>
      <w:r w:rsidR="00F65793">
        <w:rPr>
          <w:rFonts w:ascii="garamond" w:hAnsi="garamond"/>
        </w:rPr>
        <w:t>moves</w:t>
      </w:r>
      <w:r w:rsidR="00F65793">
        <w:rPr>
          <w:rFonts w:ascii="garamond" w:hAnsi="garamond"/>
        </w:rPr>
        <w:t xml:space="preserve"> beyond the </w:t>
      </w:r>
      <w:r w:rsidR="00F65793">
        <w:rPr>
          <w:rFonts w:ascii="garamond" w:hAnsi="garamond"/>
        </w:rPr>
        <w:t xml:space="preserve">well-recognized </w:t>
      </w:r>
      <w:r w:rsidR="00F65793">
        <w:rPr>
          <w:rFonts w:ascii="garamond" w:hAnsi="garamond"/>
        </w:rPr>
        <w:t>adversarial role of protest occupation and encampment</w:t>
      </w:r>
      <w:r w:rsidR="00F65793">
        <w:rPr>
          <w:rFonts w:ascii="garamond" w:hAnsi="garamond"/>
        </w:rPr>
        <w:t xml:space="preserve"> in order to </w:t>
      </w:r>
      <w:r w:rsidR="00F65793">
        <w:rPr>
          <w:rFonts w:ascii="garamond" w:hAnsi="garamond"/>
        </w:rPr>
        <w:t xml:space="preserve">better understand its constructive character. </w:t>
      </w:r>
    </w:p>
    <w:p w14:paraId="60C1C315" w14:textId="77777777" w:rsidR="00F144FF" w:rsidRDefault="00F429B9" w:rsidP="00F51E69">
      <w:pPr>
        <w:ind w:firstLine="720"/>
        <w:rPr>
          <w:rFonts w:ascii="garamond" w:hAnsi="garamond"/>
          <w:color w:val="000000" w:themeColor="text1"/>
        </w:rPr>
      </w:pPr>
      <w:r>
        <w:rPr>
          <w:rFonts w:ascii="garamond" w:hAnsi="garamond"/>
          <w:color w:val="000000" w:themeColor="text1"/>
        </w:rPr>
        <w:t xml:space="preserve">The article begins </w:t>
      </w:r>
      <w:r w:rsidR="009939EA">
        <w:rPr>
          <w:rFonts w:ascii="garamond" w:hAnsi="garamond"/>
          <w:color w:val="000000" w:themeColor="text1"/>
        </w:rPr>
        <w:t xml:space="preserve">with </w:t>
      </w:r>
      <w:r>
        <w:rPr>
          <w:rFonts w:ascii="garamond" w:hAnsi="garamond"/>
          <w:color w:val="000000" w:themeColor="text1"/>
        </w:rPr>
        <w:t>a taxonomy for the role</w:t>
      </w:r>
      <w:r w:rsidR="002324A8">
        <w:rPr>
          <w:rFonts w:ascii="garamond" w:hAnsi="garamond"/>
          <w:color w:val="000000" w:themeColor="text1"/>
        </w:rPr>
        <w:t xml:space="preserve">s </w:t>
      </w:r>
      <w:r>
        <w:rPr>
          <w:rFonts w:ascii="garamond" w:hAnsi="garamond"/>
          <w:color w:val="000000" w:themeColor="text1"/>
        </w:rPr>
        <w:t>of space in political contestation.</w:t>
      </w:r>
      <w:r w:rsidR="00F51E69">
        <w:rPr>
          <w:rFonts w:ascii="garamond" w:hAnsi="garamond"/>
          <w:color w:val="000000" w:themeColor="text1"/>
        </w:rPr>
        <w:t xml:space="preserve"> </w:t>
      </w:r>
      <w:r>
        <w:rPr>
          <w:rFonts w:ascii="garamond" w:hAnsi="garamond"/>
          <w:color w:val="000000" w:themeColor="text1"/>
        </w:rPr>
        <w:t>I describe six roles that are established in the existing literature, followed by two roles that I argue are under</w:t>
      </w:r>
      <w:r w:rsidR="002A62EC">
        <w:rPr>
          <w:rFonts w:ascii="garamond" w:hAnsi="garamond"/>
          <w:color w:val="000000" w:themeColor="text1"/>
        </w:rPr>
        <w:t>appreciated</w:t>
      </w:r>
      <w:r w:rsidR="002324A8">
        <w:rPr>
          <w:rFonts w:ascii="garamond" w:hAnsi="garamond"/>
          <w:color w:val="000000" w:themeColor="text1"/>
        </w:rPr>
        <w:t>: prefiguration and refiguration.</w:t>
      </w:r>
      <w:r w:rsidR="002A62EC">
        <w:rPr>
          <w:rFonts w:ascii="garamond" w:hAnsi="garamond"/>
          <w:color w:val="000000" w:themeColor="text1"/>
        </w:rPr>
        <w:t xml:space="preserve"> These two roles </w:t>
      </w:r>
      <w:r w:rsidR="002324A8">
        <w:rPr>
          <w:rFonts w:ascii="garamond" w:hAnsi="garamond"/>
          <w:color w:val="000000" w:themeColor="text1"/>
        </w:rPr>
        <w:t xml:space="preserve">involve imagining, performing, and building alternative social environments. In the following section, I develop my argument for why prefiguration and refiguration are both practices of </w:t>
      </w:r>
      <w:r w:rsidR="002A62EC">
        <w:rPr>
          <w:rFonts w:ascii="garamond" w:hAnsi="garamond"/>
          <w:color w:val="000000" w:themeColor="text1"/>
        </w:rPr>
        <w:t>what I call ‘worldmaking.’</w:t>
      </w:r>
      <w:r w:rsidR="00AF01FA">
        <w:rPr>
          <w:rFonts w:ascii="garamond" w:hAnsi="garamond"/>
          <w:color w:val="000000" w:themeColor="text1"/>
        </w:rPr>
        <w:t xml:space="preserve"> </w:t>
      </w:r>
      <w:r w:rsidR="002324A8">
        <w:rPr>
          <w:rFonts w:ascii="garamond" w:hAnsi="garamond"/>
          <w:color w:val="000000" w:themeColor="text1"/>
        </w:rPr>
        <w:t xml:space="preserve">In this section I </w:t>
      </w:r>
      <w:r w:rsidR="00F144FF">
        <w:rPr>
          <w:rFonts w:ascii="garamond" w:hAnsi="garamond"/>
          <w:color w:val="000000" w:themeColor="text1"/>
        </w:rPr>
        <w:t>discuss</w:t>
      </w:r>
      <w:r w:rsidR="00BA44A0">
        <w:rPr>
          <w:rFonts w:ascii="garamond" w:hAnsi="garamond"/>
          <w:color w:val="000000" w:themeColor="text1"/>
        </w:rPr>
        <w:t xml:space="preserve"> how agents make use of the built environment</w:t>
      </w:r>
      <w:r w:rsidR="00B16002">
        <w:rPr>
          <w:rFonts w:ascii="garamond" w:hAnsi="garamond"/>
          <w:color w:val="000000" w:themeColor="text1"/>
        </w:rPr>
        <w:t>’s ability to shape behavior which unfolds within it</w:t>
      </w:r>
      <w:r w:rsidR="002324A8">
        <w:rPr>
          <w:rFonts w:ascii="garamond" w:hAnsi="garamond"/>
          <w:color w:val="000000" w:themeColor="text1"/>
        </w:rPr>
        <w:t xml:space="preserve"> </w:t>
      </w:r>
      <w:r w:rsidR="00BA44A0">
        <w:rPr>
          <w:rFonts w:ascii="garamond" w:hAnsi="garamond"/>
          <w:color w:val="000000" w:themeColor="text1"/>
        </w:rPr>
        <w:t>in order to pursue structural change</w:t>
      </w:r>
      <w:r w:rsidR="00852E29">
        <w:rPr>
          <w:rFonts w:ascii="garamond" w:hAnsi="garamond"/>
          <w:color w:val="000000" w:themeColor="text1"/>
        </w:rPr>
        <w:t>—a conclusion which stands in contrast to other work which tends t</w:t>
      </w:r>
      <w:r w:rsidR="00B16002">
        <w:rPr>
          <w:rFonts w:ascii="garamond" w:hAnsi="garamond"/>
          <w:color w:val="000000" w:themeColor="text1"/>
        </w:rPr>
        <w:t>o</w:t>
      </w:r>
      <w:r w:rsidR="00852E29">
        <w:rPr>
          <w:rFonts w:ascii="garamond" w:hAnsi="garamond"/>
          <w:color w:val="000000" w:themeColor="text1"/>
        </w:rPr>
        <w:t xml:space="preserve"> view environmental influence as a source of domination or resistance to </w:t>
      </w:r>
      <w:r w:rsidR="00F144FF">
        <w:rPr>
          <w:rFonts w:ascii="garamond" w:hAnsi="garamond"/>
          <w:color w:val="000000" w:themeColor="text1"/>
        </w:rPr>
        <w:t>political transformation</w:t>
      </w:r>
      <w:r w:rsidR="00BA44A0">
        <w:rPr>
          <w:rFonts w:ascii="garamond" w:hAnsi="garamond"/>
          <w:color w:val="000000" w:themeColor="text1"/>
        </w:rPr>
        <w:t xml:space="preserve">. </w:t>
      </w:r>
    </w:p>
    <w:p w14:paraId="4241C095" w14:textId="42202112" w:rsidR="00CA59AE" w:rsidRPr="00F144FF" w:rsidRDefault="00BA44A0" w:rsidP="00F144FF">
      <w:pPr>
        <w:ind w:firstLine="720"/>
        <w:rPr>
          <w:rFonts w:ascii="garamond" w:hAnsi="garamond"/>
        </w:rPr>
      </w:pPr>
      <w:r>
        <w:rPr>
          <w:rFonts w:ascii="garamond" w:hAnsi="garamond"/>
          <w:color w:val="000000" w:themeColor="text1"/>
        </w:rPr>
        <w:t xml:space="preserve">The rest of the article is dedicated to </w:t>
      </w:r>
      <w:r w:rsidR="00E31A9B">
        <w:rPr>
          <w:rFonts w:ascii="garamond" w:hAnsi="garamond"/>
          <w:color w:val="000000" w:themeColor="text1"/>
        </w:rPr>
        <w:t>case studies</w:t>
      </w:r>
      <w:r w:rsidR="009939EA">
        <w:rPr>
          <w:rFonts w:ascii="garamond" w:hAnsi="garamond"/>
          <w:color w:val="000000" w:themeColor="text1"/>
        </w:rPr>
        <w:t xml:space="preserve"> of protest occupations showcasing prefiguration and refiguration in action</w:t>
      </w:r>
      <w:r w:rsidR="00E31A9B">
        <w:rPr>
          <w:rFonts w:ascii="garamond" w:hAnsi="garamond"/>
          <w:color w:val="000000" w:themeColor="text1"/>
        </w:rPr>
        <w:t xml:space="preserve">. </w:t>
      </w:r>
      <w:r w:rsidR="00857E49" w:rsidRPr="001C2338">
        <w:rPr>
          <w:rFonts w:ascii="garamond" w:hAnsi="garamond"/>
          <w:color w:val="000000" w:themeColor="text1"/>
        </w:rPr>
        <w:t xml:space="preserve">I </w:t>
      </w:r>
      <w:r w:rsidR="00857E49">
        <w:rPr>
          <w:rFonts w:ascii="garamond" w:hAnsi="garamond"/>
          <w:color w:val="000000" w:themeColor="text1"/>
        </w:rPr>
        <w:t>examine</w:t>
      </w:r>
      <w:r w:rsidR="00857E49" w:rsidRPr="001C2338">
        <w:rPr>
          <w:rFonts w:ascii="garamond" w:hAnsi="garamond"/>
          <w:color w:val="000000" w:themeColor="text1"/>
        </w:rPr>
        <w:t xml:space="preserve"> </w:t>
      </w:r>
      <w:r w:rsidR="009939EA">
        <w:rPr>
          <w:rFonts w:ascii="garamond" w:hAnsi="garamond"/>
          <w:color w:val="000000" w:themeColor="text1"/>
        </w:rPr>
        <w:t>two</w:t>
      </w:r>
      <w:r w:rsidR="00857E49" w:rsidRPr="001C2338">
        <w:rPr>
          <w:rFonts w:ascii="garamond" w:hAnsi="garamond"/>
          <w:color w:val="000000" w:themeColor="text1"/>
        </w:rPr>
        <w:t xml:space="preserve"> examples of protest and activist projects on the South Sid</w:t>
      </w:r>
      <w:r w:rsidR="00857E49">
        <w:rPr>
          <w:rFonts w:ascii="garamond" w:hAnsi="garamond"/>
          <w:color w:val="000000" w:themeColor="text1"/>
        </w:rPr>
        <w:t>e</w:t>
      </w:r>
      <w:r w:rsidR="00857E49" w:rsidRPr="001C2338">
        <w:rPr>
          <w:rFonts w:ascii="garamond" w:hAnsi="garamond"/>
          <w:color w:val="000000" w:themeColor="text1"/>
        </w:rPr>
        <w:t xml:space="preserve"> of Chicago</w:t>
      </w:r>
      <w:r w:rsidR="00857E49">
        <w:rPr>
          <w:rFonts w:ascii="garamond" w:hAnsi="garamond"/>
          <w:color w:val="000000" w:themeColor="text1"/>
        </w:rPr>
        <w:t xml:space="preserve"> in the last decade</w:t>
      </w:r>
      <w:r w:rsidR="00857E49" w:rsidRPr="001C2338">
        <w:rPr>
          <w:rFonts w:ascii="garamond" w:hAnsi="garamond"/>
          <w:color w:val="000000" w:themeColor="text1"/>
        </w:rPr>
        <w:t xml:space="preserve">: the Healing Village protest in Woodlawn, </w:t>
      </w:r>
      <w:r w:rsidR="00857E49">
        <w:rPr>
          <w:rFonts w:ascii="garamond" w:hAnsi="garamond"/>
          <w:color w:val="000000" w:themeColor="text1"/>
        </w:rPr>
        <w:t>in</w:t>
      </w:r>
      <w:r w:rsidR="00857E49" w:rsidRPr="001C2338">
        <w:rPr>
          <w:rFonts w:ascii="garamond" w:hAnsi="garamond"/>
          <w:color w:val="000000" w:themeColor="text1"/>
        </w:rPr>
        <w:t xml:space="preserve"> 2018;</w:t>
      </w:r>
      <w:r w:rsidR="009939EA">
        <w:rPr>
          <w:rFonts w:ascii="garamond" w:hAnsi="garamond"/>
          <w:color w:val="000000" w:themeColor="text1"/>
        </w:rPr>
        <w:t xml:space="preserve"> and</w:t>
      </w:r>
      <w:r w:rsidR="00857E49" w:rsidRPr="001C2338">
        <w:rPr>
          <w:rFonts w:ascii="garamond" w:hAnsi="garamond"/>
          <w:color w:val="000000" w:themeColor="text1"/>
        </w:rPr>
        <w:t xml:space="preserve"> the Freedom Square occupations, in 2016</w:t>
      </w:r>
      <w:r w:rsidR="009939EA">
        <w:rPr>
          <w:rFonts w:ascii="garamond" w:hAnsi="garamond"/>
          <w:color w:val="000000" w:themeColor="text1"/>
        </w:rPr>
        <w:t xml:space="preserve">. </w:t>
      </w:r>
      <w:r w:rsidR="00857E49">
        <w:rPr>
          <w:rFonts w:ascii="garamond" w:hAnsi="garamond"/>
        </w:rPr>
        <w:t>Through these protests, I show how activists use the material, symbolic, and kinesthetic elements of space to shift participants’ understanding of the present</w:t>
      </w:r>
      <w:r w:rsidR="00A22213">
        <w:rPr>
          <w:rFonts w:ascii="garamond" w:hAnsi="garamond"/>
        </w:rPr>
        <w:t xml:space="preserve"> </w:t>
      </w:r>
      <w:r w:rsidR="00857E49">
        <w:rPr>
          <w:rFonts w:ascii="garamond" w:hAnsi="garamond"/>
        </w:rPr>
        <w:t xml:space="preserve">and stretch their imagination about the future. Space-making aims to make epistemic shifts, specifically in how we interpret our political landscape and its openness to political change. </w:t>
      </w:r>
      <w:r w:rsidR="00CA59AE">
        <w:rPr>
          <w:rFonts w:ascii="garamond" w:hAnsi="garamond"/>
          <w:color w:val="000000" w:themeColor="text1"/>
        </w:rPr>
        <w:t xml:space="preserve">In these worldmaking protest occupations, </w:t>
      </w:r>
      <w:r w:rsidR="00CA59AE" w:rsidRPr="005D17DA">
        <w:rPr>
          <w:rFonts w:ascii="garamond" w:hAnsi="garamond"/>
          <w:color w:val="000000" w:themeColor="text1"/>
        </w:rPr>
        <w:t xml:space="preserve">protests use the characteristics of social space—including materiality’s proof-bearing character, its </w:t>
      </w:r>
      <w:r w:rsidR="00CA59AE">
        <w:rPr>
          <w:rFonts w:ascii="garamond" w:hAnsi="garamond"/>
          <w:color w:val="000000" w:themeColor="text1"/>
        </w:rPr>
        <w:t xml:space="preserve">denaturalization of the built environment, its </w:t>
      </w:r>
      <w:r w:rsidR="00CA59AE" w:rsidRPr="005D17DA">
        <w:rPr>
          <w:rFonts w:ascii="garamond" w:hAnsi="garamond"/>
          <w:color w:val="000000" w:themeColor="text1"/>
        </w:rPr>
        <w:t xml:space="preserve">naturalization of </w:t>
      </w:r>
      <w:r w:rsidR="00CA59AE">
        <w:rPr>
          <w:rFonts w:ascii="garamond" w:hAnsi="garamond"/>
          <w:color w:val="000000" w:themeColor="text1"/>
        </w:rPr>
        <w:t>the new</w:t>
      </w:r>
      <w:r w:rsidR="00CA59AE" w:rsidRPr="005D17DA">
        <w:rPr>
          <w:rFonts w:ascii="garamond" w:hAnsi="garamond"/>
          <w:color w:val="000000" w:themeColor="text1"/>
        </w:rPr>
        <w:t xml:space="preserve"> social relations facilitated by </w:t>
      </w:r>
      <w:r w:rsidR="00CA59AE">
        <w:rPr>
          <w:rFonts w:ascii="garamond" w:hAnsi="garamond"/>
          <w:color w:val="000000" w:themeColor="text1"/>
        </w:rPr>
        <w:t>these spaces</w:t>
      </w:r>
      <w:r w:rsidR="00CA59AE" w:rsidRPr="005D17DA">
        <w:rPr>
          <w:rFonts w:ascii="garamond" w:hAnsi="garamond"/>
          <w:color w:val="000000" w:themeColor="text1"/>
        </w:rPr>
        <w:t xml:space="preserve">, and its </w:t>
      </w:r>
      <w:r w:rsidR="00CA59AE">
        <w:rPr>
          <w:rFonts w:ascii="garamond" w:hAnsi="garamond"/>
          <w:color w:val="000000" w:themeColor="text1"/>
        </w:rPr>
        <w:t xml:space="preserve">staging </w:t>
      </w:r>
      <w:r w:rsidR="00CA59AE" w:rsidRPr="005D17DA">
        <w:rPr>
          <w:rFonts w:ascii="garamond" w:hAnsi="garamond"/>
          <w:color w:val="000000" w:themeColor="text1"/>
        </w:rPr>
        <w:t xml:space="preserve">of habits and </w:t>
      </w:r>
      <w:r w:rsidR="00CA59AE">
        <w:rPr>
          <w:rFonts w:ascii="garamond" w:hAnsi="garamond"/>
          <w:color w:val="000000" w:themeColor="text1"/>
        </w:rPr>
        <w:t>attitudes</w:t>
      </w:r>
      <w:r w:rsidR="00CA59AE" w:rsidRPr="005D17DA">
        <w:rPr>
          <w:rFonts w:ascii="garamond" w:hAnsi="garamond"/>
          <w:color w:val="000000" w:themeColor="text1"/>
        </w:rPr>
        <w:t>—to challenge</w:t>
      </w:r>
      <w:r w:rsidR="00CA59AE">
        <w:rPr>
          <w:rFonts w:ascii="garamond" w:hAnsi="garamond"/>
          <w:color w:val="000000" w:themeColor="text1"/>
        </w:rPr>
        <w:t xml:space="preserve"> and reframe</w:t>
      </w:r>
      <w:r w:rsidR="00CA59AE" w:rsidRPr="005D17DA">
        <w:rPr>
          <w:rFonts w:ascii="garamond" w:hAnsi="garamond"/>
          <w:color w:val="000000" w:themeColor="text1"/>
        </w:rPr>
        <w:t xml:space="preserve"> </w:t>
      </w:r>
      <w:r w:rsidR="00CA59AE">
        <w:rPr>
          <w:rFonts w:ascii="garamond" w:hAnsi="garamond"/>
          <w:color w:val="000000" w:themeColor="text1"/>
        </w:rPr>
        <w:t>participants’</w:t>
      </w:r>
      <w:r w:rsidR="00CA59AE" w:rsidRPr="005D17DA">
        <w:rPr>
          <w:rFonts w:ascii="garamond" w:hAnsi="garamond"/>
          <w:color w:val="000000" w:themeColor="text1"/>
        </w:rPr>
        <w:t xml:space="preserve"> understanding of the present and the possible. These embodied political experiments denaturaliz</w:t>
      </w:r>
      <w:r w:rsidR="00CA59AE">
        <w:rPr>
          <w:rFonts w:ascii="garamond" w:hAnsi="garamond"/>
          <w:color w:val="000000" w:themeColor="text1"/>
        </w:rPr>
        <w:t>e</w:t>
      </w:r>
      <w:r w:rsidR="00CA59AE" w:rsidRPr="005D17DA">
        <w:rPr>
          <w:rFonts w:ascii="garamond" w:hAnsi="garamond"/>
          <w:color w:val="000000" w:themeColor="text1"/>
        </w:rPr>
        <w:t xml:space="preserve"> our understanding of the possibilities available within the </w:t>
      </w:r>
      <w:r w:rsidR="000E7793" w:rsidRPr="005D17DA">
        <w:rPr>
          <w:rFonts w:ascii="garamond" w:hAnsi="garamond"/>
          <w:color w:val="000000" w:themeColor="text1"/>
        </w:rPr>
        <w:t>present and</w:t>
      </w:r>
      <w:r w:rsidR="00CA59AE" w:rsidRPr="005D17DA">
        <w:rPr>
          <w:rFonts w:ascii="garamond" w:hAnsi="garamond"/>
          <w:color w:val="000000" w:themeColor="text1"/>
        </w:rPr>
        <w:t xml:space="preserve"> stretch our imagination of what future political arrangements are feasible. Through—not despite—their ephemerality, these prefigurative spaces</w:t>
      </w:r>
      <w:r w:rsidR="00CA59AE">
        <w:rPr>
          <w:rFonts w:ascii="garamond" w:hAnsi="garamond"/>
          <w:color w:val="000000" w:themeColor="text1"/>
        </w:rPr>
        <w:t xml:space="preserve"> </w:t>
      </w:r>
      <w:r w:rsidR="00CA59AE" w:rsidRPr="005D17DA">
        <w:rPr>
          <w:rFonts w:ascii="garamond" w:hAnsi="garamond"/>
          <w:color w:val="000000" w:themeColor="text1"/>
        </w:rPr>
        <w:t>anticipate radical futures.</w:t>
      </w:r>
    </w:p>
    <w:p w14:paraId="33DB38FF" w14:textId="3E2F0D60" w:rsidR="00CE316E" w:rsidRDefault="00857E49" w:rsidP="00F144FF">
      <w:pPr>
        <w:ind w:firstLine="720"/>
        <w:rPr>
          <w:rFonts w:ascii="garamond" w:hAnsi="garamond"/>
        </w:rPr>
      </w:pPr>
      <w:r>
        <w:rPr>
          <w:rFonts w:ascii="garamond" w:hAnsi="garamond"/>
        </w:rPr>
        <w:t xml:space="preserve">This work allows us to go beyond the adversarial role of protest occupation and encampment in contemporary politics (including on university campuses), and better understand its constructive role. Methodologically, this work </w:t>
      </w:r>
      <w:r w:rsidR="00BD7BFF">
        <w:rPr>
          <w:rFonts w:ascii="garamond" w:hAnsi="garamond"/>
        </w:rPr>
        <w:t xml:space="preserve">is aligned with a burgeoning literature which takes </w:t>
      </w:r>
      <w:r>
        <w:rPr>
          <w:rFonts w:ascii="garamond" w:hAnsi="garamond"/>
        </w:rPr>
        <w:t>contemporary activism as an important and underappreciated arena of political theorizing</w:t>
      </w:r>
      <w:r w:rsidR="007438AC">
        <w:rPr>
          <w:rFonts w:ascii="garamond" w:hAnsi="garamond"/>
        </w:rPr>
        <w:t>.</w:t>
      </w:r>
      <w:r w:rsidR="007438AC">
        <w:rPr>
          <w:rStyle w:val="FootnoteReference"/>
          <w:rFonts w:ascii="garamond" w:hAnsi="garamond"/>
        </w:rPr>
        <w:footnoteReference w:id="2"/>
      </w:r>
    </w:p>
    <w:p w14:paraId="433FAAFA" w14:textId="77777777" w:rsidR="00F144FF" w:rsidRDefault="00F144FF" w:rsidP="00F144FF">
      <w:pPr>
        <w:ind w:firstLine="720"/>
        <w:rPr>
          <w:rFonts w:ascii="garamond" w:hAnsi="garamond"/>
        </w:rPr>
      </w:pPr>
    </w:p>
    <w:p w14:paraId="3313B41B" w14:textId="77777777" w:rsidR="00F81217" w:rsidRDefault="00F81217" w:rsidP="00857E49">
      <w:pPr>
        <w:ind w:firstLine="720"/>
        <w:rPr>
          <w:rFonts w:ascii="garamond" w:hAnsi="garamond"/>
        </w:rPr>
      </w:pPr>
    </w:p>
    <w:p w14:paraId="60986588" w14:textId="77777777" w:rsidR="00F81217" w:rsidRDefault="00F81217" w:rsidP="00857E49">
      <w:pPr>
        <w:ind w:firstLine="720"/>
        <w:rPr>
          <w:rFonts w:ascii="garamond" w:hAnsi="garamond"/>
        </w:rPr>
      </w:pPr>
    </w:p>
    <w:p w14:paraId="6BED3A88" w14:textId="23C149AE" w:rsidR="00857E49" w:rsidRDefault="00930010" w:rsidP="00CE316E">
      <w:pPr>
        <w:rPr>
          <w:rFonts w:ascii="garamond" w:hAnsi="garamond"/>
          <w:b/>
          <w:bCs/>
        </w:rPr>
      </w:pPr>
      <w:r>
        <w:rPr>
          <w:rFonts w:ascii="garamond" w:hAnsi="garamond"/>
          <w:b/>
          <w:bCs/>
        </w:rPr>
        <w:t>Taxonomy of Protest Space</w:t>
      </w:r>
    </w:p>
    <w:p w14:paraId="5F47ABEF" w14:textId="77777777" w:rsidR="00E31A9B" w:rsidRDefault="00E31A9B" w:rsidP="00CE316E">
      <w:pPr>
        <w:rPr>
          <w:rFonts w:ascii="garamond" w:hAnsi="garamond"/>
          <w:b/>
          <w:bCs/>
        </w:rPr>
      </w:pPr>
    </w:p>
    <w:p w14:paraId="065D04DA" w14:textId="1ED892DC" w:rsidR="00E31A9B" w:rsidRDefault="00E31A9B" w:rsidP="00CE316E">
      <w:pPr>
        <w:rPr>
          <w:rFonts w:ascii="garamond" w:hAnsi="garamond"/>
          <w:b/>
          <w:bCs/>
          <w:color w:val="000000" w:themeColor="text1"/>
        </w:rPr>
      </w:pPr>
    </w:p>
    <w:p w14:paraId="21EEB54A" w14:textId="7BCBB76A" w:rsidR="00E03A8D" w:rsidRPr="00CE316E" w:rsidRDefault="009939EA" w:rsidP="009939EA">
      <w:pPr>
        <w:jc w:val="center"/>
        <w:rPr>
          <w:rFonts w:ascii="garamond" w:hAnsi="garamond"/>
          <w:b/>
          <w:bCs/>
          <w:color w:val="000000" w:themeColor="text1"/>
        </w:rPr>
      </w:pPr>
      <w:r>
        <w:rPr>
          <w:rFonts w:ascii="garamond" w:hAnsi="garamond"/>
          <w:b/>
          <w:bCs/>
          <w:noProof/>
          <w:color w:val="000000" w:themeColor="text1"/>
        </w:rPr>
        <w:lastRenderedPageBreak/>
        <w:drawing>
          <wp:inline distT="0" distB="0" distL="0" distR="0" wp14:anchorId="51486A13" wp14:editId="0E0B020B">
            <wp:extent cx="4432300" cy="2236512"/>
            <wp:effectExtent l="0" t="0" r="0" b="0"/>
            <wp:docPr id="146295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9289" name="Picture 14629592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329" cy="2242077"/>
                    </a:xfrm>
                    <a:prstGeom prst="rect">
                      <a:avLst/>
                    </a:prstGeom>
                  </pic:spPr>
                </pic:pic>
              </a:graphicData>
            </a:graphic>
          </wp:inline>
        </w:drawing>
      </w:r>
    </w:p>
    <w:p w14:paraId="419C8246" w14:textId="419A4766" w:rsidR="00D96230" w:rsidRPr="00F51E69" w:rsidRDefault="00E01811" w:rsidP="00F51E69">
      <w:pPr>
        <w:ind w:firstLine="720"/>
        <w:rPr>
          <w:rFonts w:ascii="garamond" w:hAnsi="garamond"/>
        </w:rPr>
      </w:pPr>
      <w:r>
        <w:rPr>
          <w:rFonts w:ascii="garamond" w:hAnsi="garamond"/>
        </w:rPr>
        <w:t>Despite the rise in interest during and following what Edward Soja has called ‘the spatial turn’ in theory, there have been surprisingly few attempts to categorize the various ways in which space appears and intervenes in politics.</w:t>
      </w:r>
      <w:r>
        <w:rPr>
          <w:rStyle w:val="FootnoteReference"/>
          <w:rFonts w:ascii="garamond" w:hAnsi="garamond"/>
        </w:rPr>
        <w:footnoteReference w:id="3"/>
      </w:r>
      <w:r>
        <w:rPr>
          <w:rFonts w:ascii="garamond" w:hAnsi="garamond"/>
        </w:rPr>
        <w:t xml:space="preserve"> This taxonomy of protest space provides a starting point for disaggregating the diverse range of literature on spatial politics specifically as it pertains to social movements. </w:t>
      </w:r>
      <w:r w:rsidR="00E31A9B">
        <w:rPr>
          <w:rFonts w:ascii="garamond" w:hAnsi="garamond"/>
        </w:rPr>
        <w:t xml:space="preserve">The above taxonomy outlines the way space interacts with politics. </w:t>
      </w:r>
      <w:r w:rsidR="00F144FF" w:rsidRPr="0077221E">
        <w:rPr>
          <w:rFonts w:ascii="garamond" w:hAnsi="garamond"/>
        </w:rPr>
        <w:t>Space is generally understood to serve a</w:t>
      </w:r>
      <w:r w:rsidR="00F144FF">
        <w:rPr>
          <w:rFonts w:ascii="garamond" w:hAnsi="garamond"/>
        </w:rPr>
        <w:t>n</w:t>
      </w:r>
      <w:r w:rsidR="00F144FF" w:rsidRPr="0077221E">
        <w:rPr>
          <w:rFonts w:ascii="garamond" w:hAnsi="garamond"/>
        </w:rPr>
        <w:t xml:space="preserve"> </w:t>
      </w:r>
      <w:r w:rsidR="00F144FF">
        <w:rPr>
          <w:rFonts w:ascii="garamond" w:hAnsi="garamond"/>
        </w:rPr>
        <w:t>antecedent role in</w:t>
      </w:r>
      <w:r w:rsidR="00F144FF" w:rsidRPr="0077221E">
        <w:rPr>
          <w:rFonts w:ascii="garamond" w:hAnsi="garamond"/>
        </w:rPr>
        <w:t xml:space="preserve"> political contestation (as </w:t>
      </w:r>
      <w:r w:rsidR="00F144FF">
        <w:rPr>
          <w:rFonts w:ascii="garamond" w:hAnsi="garamond"/>
        </w:rPr>
        <w:t>a</w:t>
      </w:r>
      <w:r w:rsidR="00F144FF" w:rsidRPr="0077221E">
        <w:rPr>
          <w:rFonts w:ascii="garamond" w:hAnsi="garamond"/>
        </w:rPr>
        <w:t xml:space="preserve"> stage </w:t>
      </w:r>
      <w:r w:rsidR="00F144FF">
        <w:rPr>
          <w:rFonts w:ascii="garamond" w:hAnsi="garamond"/>
        </w:rPr>
        <w:t>which shapes</w:t>
      </w:r>
      <w:r w:rsidR="00F144FF" w:rsidRPr="0077221E">
        <w:rPr>
          <w:rFonts w:ascii="garamond" w:hAnsi="garamond"/>
        </w:rPr>
        <w:t xml:space="preserve"> protest), or passive roles (as the object or product of protest).</w:t>
      </w:r>
      <w:r w:rsidR="00E31A9B">
        <w:rPr>
          <w:rFonts w:ascii="garamond" w:hAnsi="garamond"/>
        </w:rPr>
        <w:t xml:space="preserve"> </w:t>
      </w:r>
      <w:r w:rsidR="00D96230">
        <w:rPr>
          <w:rFonts w:ascii="garamond" w:hAnsi="garamond"/>
        </w:rPr>
        <w:t>Although I will explore other roles of protest space below, e</w:t>
      </w:r>
      <w:r w:rsidR="00D96230" w:rsidRPr="00D7491A">
        <w:rPr>
          <w:rFonts w:ascii="garamond" w:hAnsi="garamond"/>
        </w:rPr>
        <w:t xml:space="preserve">xamining space in each of these </w:t>
      </w:r>
      <w:r w:rsidR="00D96230">
        <w:rPr>
          <w:rFonts w:ascii="garamond" w:hAnsi="garamond"/>
          <w:color w:val="000000" w:themeColor="text1"/>
        </w:rPr>
        <w:t>guises has offered us valuable insights into power in urban environments and in social movements. A</w:t>
      </w:r>
      <w:r w:rsidR="00D96230" w:rsidRPr="001C2338">
        <w:rPr>
          <w:rFonts w:ascii="garamond" w:hAnsi="garamond"/>
          <w:color w:val="000000" w:themeColor="text1"/>
        </w:rPr>
        <w:t xml:space="preserve">s a stage for protest, </w:t>
      </w:r>
      <w:r w:rsidR="00D96230">
        <w:rPr>
          <w:rFonts w:ascii="garamond" w:hAnsi="garamond"/>
          <w:color w:val="000000" w:themeColor="text1"/>
        </w:rPr>
        <w:t>space serves a similar role as the theater does for a play: it facilitates some actions and interactions, while circumscribing others. A</w:t>
      </w:r>
      <w:r w:rsidR="00D96230" w:rsidRPr="001C2338">
        <w:rPr>
          <w:rFonts w:ascii="garamond" w:hAnsi="garamond"/>
          <w:color w:val="000000" w:themeColor="text1"/>
        </w:rPr>
        <w:t xml:space="preserve"> favorite example among spatial theorists </w:t>
      </w:r>
      <w:r w:rsidR="00D96230">
        <w:rPr>
          <w:rFonts w:ascii="garamond" w:hAnsi="garamond"/>
          <w:color w:val="000000" w:themeColor="text1"/>
        </w:rPr>
        <w:t>of how space stages protest is</w:t>
      </w:r>
      <w:r w:rsidR="00D96230" w:rsidRPr="001C2338">
        <w:rPr>
          <w:rFonts w:ascii="garamond" w:hAnsi="garamond"/>
          <w:color w:val="000000" w:themeColor="text1"/>
        </w:rPr>
        <w:t xml:space="preserve"> </w:t>
      </w:r>
      <w:r w:rsidR="00D96230">
        <w:rPr>
          <w:rFonts w:ascii="garamond" w:hAnsi="garamond"/>
          <w:color w:val="000000" w:themeColor="text1"/>
        </w:rPr>
        <w:t xml:space="preserve">Baron von </w:t>
      </w:r>
      <w:r w:rsidR="00D96230" w:rsidRPr="001C2338">
        <w:rPr>
          <w:rFonts w:ascii="garamond" w:hAnsi="garamond"/>
          <w:color w:val="000000" w:themeColor="text1"/>
        </w:rPr>
        <w:t xml:space="preserve">Haussmann’s </w:t>
      </w:r>
      <w:r w:rsidR="00D96230">
        <w:rPr>
          <w:rFonts w:ascii="garamond" w:hAnsi="garamond"/>
          <w:color w:val="000000" w:themeColor="text1"/>
        </w:rPr>
        <w:t>nineteenth</w:t>
      </w:r>
      <w:r w:rsidR="00D96230" w:rsidRPr="001C2338">
        <w:rPr>
          <w:rFonts w:ascii="garamond" w:hAnsi="garamond"/>
          <w:color w:val="000000" w:themeColor="text1"/>
        </w:rPr>
        <w:t xml:space="preserve"> century </w:t>
      </w:r>
      <w:r w:rsidR="00D96230">
        <w:rPr>
          <w:rFonts w:ascii="garamond" w:hAnsi="garamond"/>
          <w:color w:val="000000" w:themeColor="text1"/>
        </w:rPr>
        <w:t>transformations of Paris. Haussmann punched</w:t>
      </w:r>
      <w:r w:rsidR="00D96230" w:rsidRPr="001C2338">
        <w:rPr>
          <w:rFonts w:ascii="garamond" w:hAnsi="garamond"/>
          <w:color w:val="000000" w:themeColor="text1"/>
        </w:rPr>
        <w:t xml:space="preserve"> large boulevards</w:t>
      </w:r>
      <w:r w:rsidR="00D96230">
        <w:rPr>
          <w:rFonts w:ascii="garamond" w:hAnsi="garamond"/>
          <w:color w:val="000000" w:themeColor="text1"/>
        </w:rPr>
        <w:t xml:space="preserve"> through the jumble of tight streets of central</w:t>
      </w:r>
      <w:r w:rsidR="00D96230" w:rsidRPr="001C2338">
        <w:rPr>
          <w:rFonts w:ascii="garamond" w:hAnsi="garamond"/>
          <w:color w:val="000000" w:themeColor="text1"/>
        </w:rPr>
        <w:t xml:space="preserve"> Pari</w:t>
      </w:r>
      <w:r w:rsidR="00D96230">
        <w:rPr>
          <w:rFonts w:ascii="garamond" w:hAnsi="garamond"/>
          <w:color w:val="000000" w:themeColor="text1"/>
        </w:rPr>
        <w:t xml:space="preserve">s; the boulevards were supposedly </w:t>
      </w:r>
      <w:r w:rsidR="00D96230" w:rsidRPr="001C2338">
        <w:rPr>
          <w:rFonts w:ascii="garamond" w:hAnsi="garamond"/>
          <w:color w:val="000000" w:themeColor="text1"/>
        </w:rPr>
        <w:t>designed</w:t>
      </w:r>
      <w:r w:rsidR="00D96230">
        <w:rPr>
          <w:rFonts w:ascii="garamond" w:hAnsi="garamond"/>
          <w:color w:val="000000" w:themeColor="text1"/>
        </w:rPr>
        <w:t xml:space="preserve"> in part</w:t>
      </w:r>
      <w:r w:rsidR="00D96230" w:rsidRPr="001C2338">
        <w:rPr>
          <w:rFonts w:ascii="garamond" w:hAnsi="garamond"/>
          <w:color w:val="000000" w:themeColor="text1"/>
        </w:rPr>
        <w:t xml:space="preserve"> to make guerilla uprisings easier to control, by eliminating many of the </w:t>
      </w:r>
      <w:r w:rsidR="00D96230">
        <w:rPr>
          <w:rFonts w:ascii="garamond" w:hAnsi="garamond"/>
          <w:color w:val="000000" w:themeColor="text1"/>
        </w:rPr>
        <w:t xml:space="preserve">city’s </w:t>
      </w:r>
      <w:r w:rsidR="00D96230" w:rsidRPr="001C2338">
        <w:rPr>
          <w:rFonts w:ascii="garamond" w:hAnsi="garamond"/>
          <w:color w:val="000000" w:themeColor="text1"/>
        </w:rPr>
        <w:t xml:space="preserve">small, winding streets </w:t>
      </w:r>
      <w:r w:rsidR="00D96230">
        <w:rPr>
          <w:rFonts w:ascii="garamond" w:hAnsi="garamond"/>
          <w:color w:val="000000" w:themeColor="text1"/>
        </w:rPr>
        <w:t>which had been favorable to civilian-built barricades</w:t>
      </w:r>
      <w:r w:rsidR="00D96230" w:rsidRPr="001C2338">
        <w:rPr>
          <w:rFonts w:ascii="garamond" w:hAnsi="garamond"/>
          <w:color w:val="000000" w:themeColor="text1"/>
        </w:rPr>
        <w:t xml:space="preserve">. </w:t>
      </w:r>
      <w:r w:rsidR="00D96230">
        <w:rPr>
          <w:rFonts w:ascii="garamond" w:hAnsi="garamond"/>
          <w:color w:val="000000" w:themeColor="text1"/>
        </w:rPr>
        <w:t xml:space="preserve">Like theater stages, space also frames the action which unfolds within it, lending symbolic heft (as in protests held on the Washington Mall, for example). </w:t>
      </w:r>
      <w:r w:rsidR="00D96230" w:rsidRPr="001C2338">
        <w:rPr>
          <w:rFonts w:ascii="garamond" w:hAnsi="garamond"/>
          <w:color w:val="000000" w:themeColor="text1"/>
        </w:rPr>
        <w:t xml:space="preserve">Examining </w:t>
      </w:r>
      <w:r w:rsidR="00D96230">
        <w:rPr>
          <w:rFonts w:ascii="garamond" w:hAnsi="garamond"/>
          <w:color w:val="000000" w:themeColor="text1"/>
        </w:rPr>
        <w:t>space</w:t>
      </w:r>
      <w:r w:rsidR="00D96230" w:rsidRPr="001C2338">
        <w:rPr>
          <w:rFonts w:ascii="garamond" w:hAnsi="garamond"/>
          <w:color w:val="000000" w:themeColor="text1"/>
        </w:rPr>
        <w:t xml:space="preserve"> as a stage </w:t>
      </w:r>
      <w:r w:rsidR="00D96230">
        <w:rPr>
          <w:rFonts w:ascii="garamond" w:hAnsi="garamond"/>
          <w:color w:val="000000" w:themeColor="text1"/>
        </w:rPr>
        <w:t xml:space="preserve">for protest </w:t>
      </w:r>
      <w:r w:rsidR="00D96230" w:rsidRPr="001C2338">
        <w:rPr>
          <w:rFonts w:ascii="garamond" w:hAnsi="garamond"/>
          <w:color w:val="000000" w:themeColor="text1"/>
        </w:rPr>
        <w:t xml:space="preserve">allows us to understand how extant geographies of </w:t>
      </w:r>
      <w:r w:rsidR="00D96230">
        <w:rPr>
          <w:rFonts w:ascii="garamond" w:hAnsi="garamond"/>
          <w:color w:val="000000" w:themeColor="text1"/>
        </w:rPr>
        <w:t>con</w:t>
      </w:r>
      <w:r w:rsidR="00D96230" w:rsidRPr="001C2338">
        <w:rPr>
          <w:rFonts w:ascii="garamond" w:hAnsi="garamond"/>
          <w:color w:val="000000" w:themeColor="text1"/>
        </w:rPr>
        <w:t>striction, openness, and the configuration of resources can shape protest tactics and protest success.</w:t>
      </w:r>
      <w:r w:rsidR="00D96230" w:rsidRPr="001C2338">
        <w:rPr>
          <w:rStyle w:val="FootnoteReference"/>
          <w:rFonts w:ascii="garamond" w:hAnsi="garamond"/>
          <w:color w:val="000000" w:themeColor="text1"/>
        </w:rPr>
        <w:footnoteReference w:id="4"/>
      </w:r>
    </w:p>
    <w:p w14:paraId="2C3E8090" w14:textId="699E6840" w:rsidR="00D96230" w:rsidRDefault="00D96230" w:rsidP="00D96230">
      <w:pPr>
        <w:ind w:firstLine="720"/>
        <w:rPr>
          <w:rFonts w:ascii="garamond" w:hAnsi="garamond"/>
          <w:color w:val="000000" w:themeColor="text1"/>
        </w:rPr>
      </w:pPr>
      <w:r>
        <w:rPr>
          <w:rFonts w:ascii="garamond" w:hAnsi="garamond"/>
          <w:color w:val="000000" w:themeColor="text1"/>
        </w:rPr>
        <w:t>Other literature (in geography and cultural studies in particular) has explored how space can be a product of contentious politics.</w:t>
      </w:r>
      <w:r w:rsidR="00AC5A0A" w:rsidRPr="00AC5A0A">
        <w:rPr>
          <w:rStyle w:val="FootnoteReference"/>
          <w:rFonts w:ascii="garamond" w:hAnsi="garamond"/>
          <w:color w:val="000000" w:themeColor="text1"/>
        </w:rPr>
        <w:t xml:space="preserve"> </w:t>
      </w:r>
      <w:r w:rsidR="00AC5A0A">
        <w:rPr>
          <w:rStyle w:val="FootnoteReference"/>
          <w:rFonts w:ascii="garamond" w:hAnsi="garamond"/>
          <w:color w:val="000000" w:themeColor="text1"/>
        </w:rPr>
        <w:footnoteReference w:id="5"/>
      </w:r>
      <w:r w:rsidR="00AC5A0A">
        <w:rPr>
          <w:rFonts w:ascii="garamond" w:hAnsi="garamond"/>
          <w:color w:val="000000" w:themeColor="text1"/>
        </w:rPr>
        <w:t xml:space="preserve"> </w:t>
      </w:r>
      <w:r w:rsidRPr="00627464">
        <w:rPr>
          <w:rStyle w:val="FootnoteReference"/>
          <w:rFonts w:ascii="garamond" w:hAnsi="garamond"/>
          <w:color w:val="000000" w:themeColor="text1"/>
        </w:rPr>
        <w:t xml:space="preserve"> </w:t>
      </w:r>
      <w:r>
        <w:rPr>
          <w:rFonts w:ascii="garamond" w:hAnsi="garamond"/>
          <w:color w:val="000000" w:themeColor="text1"/>
        </w:rPr>
        <w:t xml:space="preserve">Places can take on symbolic significance when protests which occur there are memorialized in collective memory (e.g. Tiananmen Square, Washington Monument). </w:t>
      </w:r>
      <w:r w:rsidRPr="001C2338">
        <w:rPr>
          <w:rFonts w:ascii="garamond" w:hAnsi="garamond"/>
          <w:color w:val="000000" w:themeColor="text1"/>
        </w:rPr>
        <w:t xml:space="preserve">Although some </w:t>
      </w:r>
      <w:r>
        <w:rPr>
          <w:rFonts w:ascii="garamond" w:hAnsi="garamond"/>
          <w:color w:val="000000" w:themeColor="text1"/>
        </w:rPr>
        <w:t>politics</w:t>
      </w:r>
      <w:r w:rsidRPr="001C2338">
        <w:rPr>
          <w:rFonts w:ascii="garamond" w:hAnsi="garamond"/>
          <w:color w:val="000000" w:themeColor="text1"/>
        </w:rPr>
        <w:t xml:space="preserve"> </w:t>
      </w:r>
      <w:r>
        <w:rPr>
          <w:rFonts w:ascii="garamond" w:hAnsi="garamond"/>
          <w:color w:val="000000" w:themeColor="text1"/>
        </w:rPr>
        <w:t>scholarship</w:t>
      </w:r>
      <w:r w:rsidRPr="001C2338">
        <w:rPr>
          <w:rFonts w:ascii="garamond" w:hAnsi="garamond"/>
          <w:color w:val="000000" w:themeColor="text1"/>
        </w:rPr>
        <w:t xml:space="preserve"> does examine the cultural artifacts produced by social movements—including music, visual art, and film—few specifically examine the production of new spaces. </w:t>
      </w:r>
      <w:r>
        <w:rPr>
          <w:rFonts w:ascii="garamond" w:hAnsi="garamond"/>
          <w:color w:val="000000" w:themeColor="text1"/>
        </w:rPr>
        <w:t xml:space="preserve">Understanding space as a product of protest offers insight into the process of memorialization as a political act. </w:t>
      </w:r>
    </w:p>
    <w:p w14:paraId="49C5BACF" w14:textId="274CC028" w:rsidR="00D96230" w:rsidRPr="00D96230" w:rsidRDefault="00D96230" w:rsidP="00D96230">
      <w:pPr>
        <w:ind w:firstLine="720"/>
        <w:rPr>
          <w:rFonts w:ascii="garamond" w:hAnsi="garamond"/>
          <w:color w:val="000000" w:themeColor="text1"/>
        </w:rPr>
      </w:pPr>
      <w:r w:rsidRPr="001C2338">
        <w:rPr>
          <w:rFonts w:ascii="garamond" w:hAnsi="garamond"/>
          <w:color w:val="000000" w:themeColor="text1"/>
        </w:rPr>
        <w:lastRenderedPageBreak/>
        <w:t xml:space="preserve">Perhaps space’s most familiar role in protest </w:t>
      </w:r>
      <w:r>
        <w:rPr>
          <w:rFonts w:ascii="garamond" w:hAnsi="garamond"/>
          <w:color w:val="000000" w:themeColor="text1"/>
        </w:rPr>
        <w:t xml:space="preserve">is </w:t>
      </w:r>
      <w:r w:rsidRPr="001C2338">
        <w:rPr>
          <w:rFonts w:ascii="garamond" w:hAnsi="garamond"/>
          <w:color w:val="000000" w:themeColor="text1"/>
        </w:rPr>
        <w:t>as an object of contestation.</w:t>
      </w:r>
      <w:r>
        <w:rPr>
          <w:rStyle w:val="FootnoteReference"/>
          <w:rFonts w:ascii="garamond" w:hAnsi="garamond"/>
          <w:color w:val="000000" w:themeColor="text1"/>
        </w:rPr>
        <w:footnoteReference w:id="6"/>
      </w:r>
      <w:r w:rsidRPr="001C2338">
        <w:rPr>
          <w:rFonts w:ascii="garamond" w:hAnsi="garamond"/>
          <w:color w:val="000000" w:themeColor="text1"/>
        </w:rPr>
        <w:t xml:space="preserve"> Protesters seek to change how a space is used, how it is organized, and how access to the space is controlled. Examples include protests which aim to stop a building’s demolition or to demand the construction of a new one. The sit-ins at lunch counters during the civil rights movement are also paradigmatic examples, in which protesters challenged </w:t>
      </w:r>
      <w:r>
        <w:rPr>
          <w:rFonts w:ascii="garamond" w:hAnsi="garamond"/>
          <w:color w:val="000000" w:themeColor="text1"/>
        </w:rPr>
        <w:t>the management of space—specifically racial</w:t>
      </w:r>
      <w:r w:rsidRPr="001C2338">
        <w:rPr>
          <w:rFonts w:ascii="garamond" w:hAnsi="garamond"/>
          <w:color w:val="000000" w:themeColor="text1"/>
        </w:rPr>
        <w:t xml:space="preserve"> segregation. Analyzing space as an object of contentious politics allows us to understand how specific spaces symbolize larger political power arrangements (such as </w:t>
      </w:r>
      <w:r>
        <w:rPr>
          <w:rFonts w:ascii="garamond" w:hAnsi="garamond"/>
          <w:color w:val="000000" w:themeColor="text1"/>
        </w:rPr>
        <w:t xml:space="preserve">segregated </w:t>
      </w:r>
      <w:r w:rsidRPr="001C2338">
        <w:rPr>
          <w:rFonts w:ascii="garamond" w:hAnsi="garamond"/>
          <w:color w:val="000000" w:themeColor="text1"/>
        </w:rPr>
        <w:t xml:space="preserve">lunch counters and the Jim Crow South), as well as how architecture and the built environment are important features of the political world (seen in protests against affordable housing developments or for the construction of </w:t>
      </w:r>
      <w:r>
        <w:rPr>
          <w:rFonts w:ascii="garamond" w:hAnsi="garamond"/>
          <w:color w:val="000000" w:themeColor="text1"/>
        </w:rPr>
        <w:t>a medical t</w:t>
      </w:r>
      <w:r w:rsidRPr="001C2338">
        <w:rPr>
          <w:rFonts w:ascii="garamond" w:hAnsi="garamond"/>
          <w:color w:val="000000" w:themeColor="text1"/>
        </w:rPr>
        <w:t xml:space="preserve">rauma </w:t>
      </w:r>
      <w:r>
        <w:rPr>
          <w:rFonts w:ascii="garamond" w:hAnsi="garamond"/>
          <w:color w:val="000000" w:themeColor="text1"/>
        </w:rPr>
        <w:t>c</w:t>
      </w:r>
      <w:r w:rsidRPr="001C2338">
        <w:rPr>
          <w:rFonts w:ascii="garamond" w:hAnsi="garamond"/>
          <w:color w:val="000000" w:themeColor="text1"/>
        </w:rPr>
        <w:t>enter on the South Side of Chicago).</w:t>
      </w:r>
      <w:r>
        <w:rPr>
          <w:rStyle w:val="FootnoteReference"/>
          <w:rFonts w:ascii="garamond" w:hAnsi="garamond"/>
          <w:color w:val="000000" w:themeColor="text1"/>
        </w:rPr>
        <w:footnoteReference w:id="7"/>
      </w:r>
      <w:r w:rsidRPr="001C2338">
        <w:rPr>
          <w:rFonts w:ascii="garamond" w:hAnsi="garamond"/>
          <w:color w:val="000000" w:themeColor="text1"/>
        </w:rPr>
        <w:t xml:space="preserve"> </w:t>
      </w:r>
    </w:p>
    <w:p w14:paraId="57EF7D66" w14:textId="28C5DE0D" w:rsidR="007045BB" w:rsidRDefault="00B672E3" w:rsidP="007045BB">
      <w:pPr>
        <w:ind w:firstLine="720"/>
        <w:rPr>
          <w:rFonts w:ascii="garamond" w:hAnsi="garamond"/>
          <w:color w:val="000000" w:themeColor="text1"/>
        </w:rPr>
      </w:pPr>
      <w:r>
        <w:rPr>
          <w:rFonts w:ascii="garamond" w:hAnsi="garamond"/>
        </w:rPr>
        <w:t xml:space="preserve">In addition to these antecedent or passive roles of space in protest, space is often used </w:t>
      </w:r>
      <w:r>
        <w:rPr>
          <w:rFonts w:ascii="garamond" w:hAnsi="garamond"/>
          <w:color w:val="000000" w:themeColor="text1"/>
        </w:rPr>
        <w:t xml:space="preserve">as </w:t>
      </w:r>
      <w:r>
        <w:rPr>
          <w:rFonts w:ascii="garamond" w:hAnsi="garamond"/>
          <w:color w:val="000000" w:themeColor="text1"/>
        </w:rPr>
        <w:t>an active tool for achieving specific political goals</w:t>
      </w:r>
      <w:r>
        <w:rPr>
          <w:rFonts w:ascii="garamond" w:hAnsi="garamond"/>
          <w:color w:val="000000" w:themeColor="text1"/>
        </w:rPr>
        <w:t xml:space="preserve">. As </w:t>
      </w:r>
      <w:r w:rsidR="00B16002">
        <w:rPr>
          <w:rFonts w:ascii="garamond" w:hAnsi="garamond"/>
        </w:rPr>
        <w:t xml:space="preserve">a </w:t>
      </w:r>
      <w:r>
        <w:rPr>
          <w:rFonts w:ascii="garamond" w:hAnsi="garamond"/>
        </w:rPr>
        <w:t xml:space="preserve">political </w:t>
      </w:r>
      <w:r w:rsidR="00B16002">
        <w:rPr>
          <w:rFonts w:ascii="garamond" w:hAnsi="garamond"/>
        </w:rPr>
        <w:t>tactic</w:t>
      </w:r>
      <w:r>
        <w:rPr>
          <w:rFonts w:ascii="garamond" w:hAnsi="garamond"/>
        </w:rPr>
        <w:t xml:space="preserve">, space </w:t>
      </w:r>
      <w:r w:rsidR="00B16002">
        <w:rPr>
          <w:rFonts w:ascii="garamond" w:hAnsi="garamond"/>
        </w:rPr>
        <w:t>can take on several roles</w:t>
      </w:r>
      <w:r w:rsidR="00D96230">
        <w:rPr>
          <w:rFonts w:ascii="garamond" w:hAnsi="garamond"/>
        </w:rPr>
        <w:t xml:space="preserve">: </w:t>
      </w:r>
      <w:r w:rsidR="000A318A">
        <w:rPr>
          <w:rFonts w:ascii="garamond" w:hAnsi="garamond"/>
        </w:rPr>
        <w:t xml:space="preserve">expressive, </w:t>
      </w:r>
      <w:r w:rsidR="000A318A" w:rsidRPr="00857E49">
        <w:rPr>
          <w:rFonts w:ascii="garamond" w:hAnsi="garamond"/>
        </w:rPr>
        <w:t>functional, constitutive, prefigurative</w:t>
      </w:r>
      <w:r w:rsidR="000A318A">
        <w:rPr>
          <w:rFonts w:ascii="garamond" w:hAnsi="garamond"/>
        </w:rPr>
        <w:t xml:space="preserve">, and refigurative. </w:t>
      </w:r>
      <w:r w:rsidR="00D96230">
        <w:rPr>
          <w:rFonts w:ascii="garamond" w:hAnsi="garamond"/>
        </w:rPr>
        <w:t>The first three roles mirror more familiar roles of protest writ large</w:t>
      </w:r>
      <w:r w:rsidR="00B4019B">
        <w:rPr>
          <w:rFonts w:ascii="garamond" w:hAnsi="garamond"/>
        </w:rPr>
        <w:t>.</w:t>
      </w:r>
      <w:r w:rsidR="00B4019B" w:rsidRPr="00D7491A">
        <w:rPr>
          <w:rFonts w:ascii="garamond" w:hAnsi="garamond"/>
        </w:rPr>
        <w:t xml:space="preserve"> </w:t>
      </w:r>
      <w:r w:rsidR="007045BB">
        <w:rPr>
          <w:rFonts w:ascii="garamond" w:hAnsi="garamond"/>
          <w:color w:val="000000" w:themeColor="text1"/>
        </w:rPr>
        <w:t xml:space="preserve">Perhaps the most </w:t>
      </w:r>
      <w:r w:rsidR="00B4019B">
        <w:rPr>
          <w:rFonts w:ascii="garamond" w:hAnsi="garamond"/>
          <w:color w:val="000000" w:themeColor="text1"/>
        </w:rPr>
        <w:t xml:space="preserve">readily </w:t>
      </w:r>
      <w:r w:rsidR="007045BB">
        <w:rPr>
          <w:rFonts w:ascii="garamond" w:hAnsi="garamond"/>
          <w:color w:val="000000" w:themeColor="text1"/>
        </w:rPr>
        <w:t xml:space="preserve">apparent use of space in protest is its </w:t>
      </w:r>
      <w:r w:rsidR="007045BB" w:rsidRPr="005E633F">
        <w:rPr>
          <w:rFonts w:ascii="garamond" w:hAnsi="garamond"/>
          <w:color w:val="000000" w:themeColor="text1"/>
          <w:u w:val="single"/>
        </w:rPr>
        <w:t>expressive</w:t>
      </w:r>
      <w:r w:rsidR="007045BB">
        <w:rPr>
          <w:rFonts w:ascii="garamond" w:hAnsi="garamond"/>
          <w:color w:val="000000" w:themeColor="text1"/>
        </w:rPr>
        <w:t xml:space="preserve"> function. Through the construction of purpose-built structures and aesthetic symbolism, the architecture is part of how activists communicate their political commitments. The protesters in Freedom Square, for example, located across from Homan Square Detention Facility, leaned on the spatial contrast in order to express rejection of the carceral system. The ad hoc architecture of the encampment contrasted aesthetically with the imposing detention complex across the street, but also expressed rejection of the carceral system’s social role through its strikingly different approach to community health and safety: structures which house goods provision, from food and water to books. A more familiar example of spatial occupation wielded for expressive ends can be found in the Occupy Movement, during which tents in front of </w:t>
      </w:r>
      <w:r w:rsidR="007045BB" w:rsidRPr="00B63B8D">
        <w:rPr>
          <w:rFonts w:ascii="garamond" w:hAnsi="garamond"/>
          <w:color w:val="000000" w:themeColor="text1"/>
        </w:rPr>
        <w:t>skyscrapers of London’s financial district</w:t>
      </w:r>
      <w:r w:rsidR="007045BB">
        <w:rPr>
          <w:rFonts w:ascii="garamond" w:hAnsi="garamond"/>
          <w:color w:val="000000" w:themeColor="text1"/>
        </w:rPr>
        <w:t xml:space="preserve"> used ad hoc architecture to materialize economic inequality.</w:t>
      </w:r>
      <w:r w:rsidR="007045BB">
        <w:rPr>
          <w:rStyle w:val="FootnoteReference"/>
          <w:rFonts w:ascii="garamond" w:hAnsi="garamond"/>
          <w:color w:val="000000" w:themeColor="text1"/>
        </w:rPr>
        <w:footnoteReference w:id="8"/>
      </w:r>
      <w:r w:rsidR="007045BB">
        <w:rPr>
          <w:rFonts w:ascii="garamond" w:hAnsi="garamond"/>
          <w:color w:val="000000" w:themeColor="text1"/>
        </w:rPr>
        <w:t xml:space="preserve"> </w:t>
      </w:r>
      <w:r w:rsidR="00B4019B">
        <w:rPr>
          <w:rFonts w:ascii="garamond" w:hAnsi="garamond"/>
          <w:color w:val="000000" w:themeColor="text1"/>
        </w:rPr>
        <w:t xml:space="preserve">Architecture may be used to express political commitments, activists have a wide range of other, more readily available symbolic mediums, such as placards, speeches, and even their dress.  </w:t>
      </w:r>
    </w:p>
    <w:p w14:paraId="19AA8AD9" w14:textId="3FD366F9" w:rsidR="007045BB" w:rsidRDefault="007045BB" w:rsidP="007045BB">
      <w:pPr>
        <w:ind w:firstLine="720"/>
        <w:rPr>
          <w:rFonts w:ascii="garamond" w:hAnsi="garamond"/>
          <w:color w:val="000000" w:themeColor="text1"/>
        </w:rPr>
      </w:pPr>
      <w:r>
        <w:rPr>
          <w:rFonts w:ascii="garamond" w:hAnsi="garamond"/>
          <w:color w:val="000000" w:themeColor="text1"/>
        </w:rPr>
        <w:t xml:space="preserve">Protest spaces can also be </w:t>
      </w:r>
      <w:r w:rsidRPr="005C1691">
        <w:rPr>
          <w:rFonts w:ascii="garamond" w:hAnsi="garamond"/>
          <w:color w:val="000000" w:themeColor="text1"/>
          <w:u w:val="single"/>
        </w:rPr>
        <w:t>functional</w:t>
      </w:r>
      <w:r>
        <w:rPr>
          <w:rFonts w:ascii="garamond" w:hAnsi="garamond"/>
          <w:color w:val="000000" w:themeColor="text1"/>
        </w:rPr>
        <w:t xml:space="preserve">—producing a specific outcome through the occupation itself. </w:t>
      </w:r>
      <w:r w:rsidRPr="00B53738">
        <w:rPr>
          <w:rFonts w:ascii="garamond" w:hAnsi="garamond"/>
          <w:color w:val="000000" w:themeColor="text1"/>
        </w:rPr>
        <w:t>The functional role of protest depends on the specific goals of the protests, and thus may range from the productive (</w:t>
      </w:r>
      <w:r>
        <w:rPr>
          <w:rFonts w:ascii="garamond" w:hAnsi="garamond"/>
          <w:color w:val="000000" w:themeColor="text1"/>
        </w:rPr>
        <w:t xml:space="preserve">e.g. </w:t>
      </w:r>
      <w:r w:rsidR="00B4019B">
        <w:rPr>
          <w:rFonts w:ascii="garamond" w:hAnsi="garamond"/>
          <w:color w:val="000000" w:themeColor="text1"/>
        </w:rPr>
        <w:t xml:space="preserve">providing an </w:t>
      </w:r>
      <w:r>
        <w:rPr>
          <w:rFonts w:ascii="garamond" w:hAnsi="garamond"/>
          <w:color w:val="000000" w:themeColor="text1"/>
        </w:rPr>
        <w:t>access point for</w:t>
      </w:r>
      <w:r w:rsidRPr="00B53738">
        <w:rPr>
          <w:rFonts w:ascii="garamond" w:hAnsi="garamond"/>
          <w:color w:val="000000" w:themeColor="text1"/>
        </w:rPr>
        <w:t xml:space="preserve"> food or services), to the </w:t>
      </w:r>
      <w:r>
        <w:rPr>
          <w:rFonts w:ascii="garamond" w:hAnsi="garamond"/>
          <w:color w:val="000000" w:themeColor="text1"/>
        </w:rPr>
        <w:t>destructive</w:t>
      </w:r>
      <w:r w:rsidRPr="00B53738">
        <w:rPr>
          <w:rFonts w:ascii="garamond" w:hAnsi="garamond"/>
          <w:color w:val="000000" w:themeColor="text1"/>
        </w:rPr>
        <w:t xml:space="preserve"> (e.g. </w:t>
      </w:r>
      <w:r>
        <w:rPr>
          <w:rFonts w:ascii="garamond" w:hAnsi="garamond"/>
          <w:color w:val="000000" w:themeColor="text1"/>
        </w:rPr>
        <w:t>damag</w:t>
      </w:r>
      <w:r w:rsidR="00B4019B">
        <w:rPr>
          <w:rFonts w:ascii="garamond" w:hAnsi="garamond"/>
          <w:color w:val="000000" w:themeColor="text1"/>
        </w:rPr>
        <w:t>ing</w:t>
      </w:r>
      <w:r>
        <w:rPr>
          <w:rFonts w:ascii="garamond" w:hAnsi="garamond"/>
          <w:color w:val="000000" w:themeColor="text1"/>
        </w:rPr>
        <w:t xml:space="preserve"> infrastructure or private property</w:t>
      </w:r>
      <w:r w:rsidRPr="00B53738">
        <w:rPr>
          <w:rFonts w:ascii="garamond" w:hAnsi="garamond"/>
          <w:color w:val="000000" w:themeColor="text1"/>
        </w:rPr>
        <w:t>), to the preventative (e.g. tree-sitters in Berkeley California to prevent logging coastal live oak trees).</w:t>
      </w:r>
      <w:r>
        <w:rPr>
          <w:rFonts w:ascii="garamond" w:hAnsi="garamond"/>
          <w:color w:val="000000" w:themeColor="text1"/>
        </w:rPr>
        <w:t xml:space="preserve"> The functional role of the Healing Village protest was to provide local services and activities to care for community mental health. Protest occupation with functional goals can often extend into the prefigurative, by modeling an aspirational spatial status quo. Take for example Oakland’s Moms for Public Housing occupation (during which homeless mothers squatted in unoccupied houses to critique inaccessible housing), which provided protesters with shelter, and </w:t>
      </w:r>
      <w:r w:rsidRPr="00B53738">
        <w:rPr>
          <w:rFonts w:ascii="garamond" w:hAnsi="garamond"/>
          <w:color w:val="000000" w:themeColor="text1"/>
        </w:rPr>
        <w:t>perform</w:t>
      </w:r>
      <w:r>
        <w:rPr>
          <w:rFonts w:ascii="garamond" w:hAnsi="garamond"/>
          <w:color w:val="000000" w:themeColor="text1"/>
        </w:rPr>
        <w:t>ed</w:t>
      </w:r>
      <w:r w:rsidRPr="00B53738">
        <w:rPr>
          <w:rFonts w:ascii="garamond" w:hAnsi="garamond"/>
          <w:color w:val="000000" w:themeColor="text1"/>
        </w:rPr>
        <w:t xml:space="preserve"> </w:t>
      </w:r>
      <w:r>
        <w:rPr>
          <w:rFonts w:ascii="garamond" w:hAnsi="garamond"/>
          <w:color w:val="000000" w:themeColor="text1"/>
        </w:rPr>
        <w:t xml:space="preserve">prefiguration of a more just housing system in which greater </w:t>
      </w:r>
      <w:r>
        <w:rPr>
          <w:rFonts w:ascii="garamond" w:hAnsi="garamond"/>
          <w:color w:val="000000" w:themeColor="text1"/>
        </w:rPr>
        <w:lastRenderedPageBreak/>
        <w:t>regulation on housing and/or expanded public housing would make low-income housing more accessible.</w:t>
      </w:r>
      <w:r>
        <w:rPr>
          <w:rStyle w:val="FootnoteReference"/>
          <w:rFonts w:ascii="garamond" w:hAnsi="garamond"/>
          <w:color w:val="000000" w:themeColor="text1"/>
        </w:rPr>
        <w:footnoteReference w:id="9"/>
      </w:r>
      <w:r>
        <w:rPr>
          <w:rFonts w:ascii="garamond" w:hAnsi="garamond"/>
          <w:color w:val="000000" w:themeColor="text1"/>
        </w:rPr>
        <w:t xml:space="preserve">  </w:t>
      </w:r>
    </w:p>
    <w:p w14:paraId="3E9D63AD" w14:textId="77777777" w:rsidR="007045BB" w:rsidRPr="00CE316E" w:rsidRDefault="007045BB" w:rsidP="007045BB">
      <w:pPr>
        <w:ind w:firstLine="720"/>
        <w:rPr>
          <w:rFonts w:ascii="garamond" w:hAnsi="garamond"/>
          <w:color w:val="000000" w:themeColor="text1"/>
        </w:rPr>
      </w:pPr>
      <w:r>
        <w:rPr>
          <w:rFonts w:ascii="garamond" w:hAnsi="garamond"/>
          <w:color w:val="000000" w:themeColor="text1"/>
        </w:rPr>
        <w:t xml:space="preserve">Protests spaces also serve a socially </w:t>
      </w:r>
      <w:r w:rsidRPr="005C1691">
        <w:rPr>
          <w:rFonts w:ascii="garamond" w:hAnsi="garamond"/>
          <w:color w:val="000000" w:themeColor="text1"/>
          <w:u w:val="single"/>
        </w:rPr>
        <w:t>constitutive</w:t>
      </w:r>
      <w:r>
        <w:rPr>
          <w:rFonts w:ascii="garamond" w:hAnsi="garamond"/>
          <w:color w:val="000000" w:themeColor="text1"/>
        </w:rPr>
        <w:t xml:space="preserve"> role by creating spaces where people can gather to pursue further action. The spaces provide the necessary conditions for development of networks of activists and also help produce a ‘public’ which can make claims in the broader public sphere. John </w:t>
      </w:r>
      <w:r w:rsidRPr="00E34B3C">
        <w:rPr>
          <w:rFonts w:ascii="garamond" w:hAnsi="garamond"/>
          <w:color w:val="000000" w:themeColor="text1"/>
        </w:rPr>
        <w:t>Parkinson offers a thorough examination of these constitutive roles of space-making, drawing on theater analogies to emphasize the importance of a public stage for constituting groups and performing narratives of political injustice</w:t>
      </w:r>
      <w:r>
        <w:rPr>
          <w:rFonts w:ascii="garamond" w:hAnsi="garamond"/>
          <w:color w:val="000000" w:themeColor="text1"/>
        </w:rPr>
        <w:t>.</w:t>
      </w:r>
      <w:r>
        <w:rPr>
          <w:rStyle w:val="FootnoteReference"/>
          <w:rFonts w:ascii="garamond" w:hAnsi="garamond"/>
          <w:color w:val="000000" w:themeColor="text1"/>
        </w:rPr>
        <w:footnoteReference w:id="10"/>
      </w:r>
      <w:r w:rsidRPr="00E34B3C">
        <w:rPr>
          <w:rFonts w:ascii="garamond" w:hAnsi="garamond"/>
          <w:color w:val="000000" w:themeColor="text1"/>
        </w:rPr>
        <w:t xml:space="preserve"> </w:t>
      </w:r>
      <w:r>
        <w:rPr>
          <w:rFonts w:ascii="garamond" w:hAnsi="garamond"/>
          <w:color w:val="000000" w:themeColor="text1"/>
        </w:rPr>
        <w:t>Margaret Kohn’s work is also notable here</w:t>
      </w:r>
      <w:r w:rsidRPr="008A5BD4">
        <w:rPr>
          <w:rFonts w:ascii="garamond" w:hAnsi="garamond"/>
          <w:color w:val="000000" w:themeColor="text1"/>
        </w:rPr>
        <w:t>. ‘</w:t>
      </w:r>
      <w:r>
        <w:rPr>
          <w:rFonts w:ascii="garamond" w:hAnsi="garamond"/>
          <w:color w:val="000000" w:themeColor="text1"/>
        </w:rPr>
        <w:t>R</w:t>
      </w:r>
      <w:r w:rsidRPr="008A5BD4">
        <w:rPr>
          <w:rFonts w:ascii="garamond" w:hAnsi="garamond"/>
          <w:color w:val="000000" w:themeColor="text1"/>
        </w:rPr>
        <w:t>adical spaces</w:t>
      </w:r>
      <w:r>
        <w:rPr>
          <w:rFonts w:ascii="garamond" w:hAnsi="garamond"/>
          <w:color w:val="000000" w:themeColor="text1"/>
        </w:rPr>
        <w:t>,</w:t>
      </w:r>
      <w:r w:rsidRPr="008A5BD4">
        <w:rPr>
          <w:rFonts w:ascii="garamond" w:hAnsi="garamond"/>
          <w:color w:val="000000" w:themeColor="text1"/>
        </w:rPr>
        <w:t>’</w:t>
      </w:r>
      <w:r>
        <w:rPr>
          <w:rFonts w:ascii="garamond" w:hAnsi="garamond"/>
          <w:color w:val="000000" w:themeColor="text1"/>
        </w:rPr>
        <w:t xml:space="preserve"> as she refers to them,</w:t>
      </w:r>
      <w:r w:rsidRPr="008A5BD4">
        <w:rPr>
          <w:rFonts w:ascii="garamond" w:hAnsi="garamond"/>
          <w:color w:val="000000" w:themeColor="text1"/>
        </w:rPr>
        <w:t xml:space="preserve"> facilitate behaviors, symbols, encounters which</w:t>
      </w:r>
      <w:r>
        <w:rPr>
          <w:rFonts w:ascii="garamond" w:hAnsi="garamond"/>
          <w:color w:val="000000" w:themeColor="text1"/>
        </w:rPr>
        <w:t xml:space="preserve"> cultivate assembly and</w:t>
      </w:r>
      <w:r w:rsidRPr="008A5BD4">
        <w:rPr>
          <w:rFonts w:ascii="garamond" w:hAnsi="garamond"/>
          <w:color w:val="000000" w:themeColor="text1"/>
        </w:rPr>
        <w:t xml:space="preserve"> foster solidarity.</w:t>
      </w:r>
      <w:r w:rsidRPr="005D6DEC">
        <w:rPr>
          <w:rStyle w:val="FootnoteReference"/>
          <w:rFonts w:ascii="garamond" w:hAnsi="garamond"/>
          <w:color w:val="000000" w:themeColor="text1"/>
        </w:rPr>
        <w:t xml:space="preserve"> </w:t>
      </w:r>
      <w:r>
        <w:rPr>
          <w:rStyle w:val="FootnoteReference"/>
          <w:rFonts w:ascii="garamond" w:hAnsi="garamond"/>
          <w:color w:val="000000" w:themeColor="text1"/>
        </w:rPr>
        <w:footnoteReference w:id="11"/>
      </w:r>
      <w:r w:rsidRPr="008A5BD4">
        <w:rPr>
          <w:rFonts w:ascii="garamond" w:hAnsi="garamond"/>
          <w:color w:val="000000" w:themeColor="text1"/>
        </w:rPr>
        <w:t xml:space="preserve"> </w:t>
      </w:r>
      <w:r>
        <w:rPr>
          <w:rFonts w:ascii="garamond" w:hAnsi="garamond"/>
          <w:color w:val="000000" w:themeColor="text1"/>
        </w:rPr>
        <w:t xml:space="preserve"> Thus, space can be an important part of routine democratic public formation as well as the constitution of alternative publics and resistance groups.</w:t>
      </w:r>
      <w:r>
        <w:rPr>
          <w:rStyle w:val="FootnoteReference"/>
          <w:rFonts w:ascii="garamond" w:hAnsi="garamond"/>
          <w:color w:val="000000" w:themeColor="text1"/>
        </w:rPr>
        <w:footnoteReference w:id="12"/>
      </w:r>
      <w:r>
        <w:rPr>
          <w:rFonts w:ascii="garamond" w:hAnsi="garamond"/>
          <w:color w:val="000000" w:themeColor="text1"/>
        </w:rPr>
        <w:t xml:space="preserve"> </w:t>
      </w:r>
    </w:p>
    <w:p w14:paraId="57F0EDF8" w14:textId="77777777" w:rsidR="00CE316E" w:rsidRDefault="00CE316E" w:rsidP="00857E49">
      <w:pPr>
        <w:ind w:firstLine="720"/>
        <w:rPr>
          <w:rFonts w:ascii="garamond" w:hAnsi="garamond"/>
        </w:rPr>
      </w:pPr>
    </w:p>
    <w:p w14:paraId="27020DB9" w14:textId="4B513D4C" w:rsidR="00CE316E" w:rsidRDefault="00CE316E" w:rsidP="00CE316E">
      <w:pPr>
        <w:rPr>
          <w:rFonts w:ascii="garamond" w:hAnsi="garamond"/>
          <w:b/>
          <w:bCs/>
        </w:rPr>
      </w:pPr>
      <w:r w:rsidRPr="00CE316E">
        <w:rPr>
          <w:rFonts w:ascii="garamond" w:hAnsi="garamond"/>
          <w:b/>
          <w:bCs/>
        </w:rPr>
        <w:t>Prefiguration</w:t>
      </w:r>
      <w:r w:rsidR="002828B4">
        <w:rPr>
          <w:rFonts w:ascii="garamond" w:hAnsi="garamond"/>
          <w:b/>
          <w:bCs/>
        </w:rPr>
        <w:t xml:space="preserve">, </w:t>
      </w:r>
      <w:r w:rsidRPr="00CE316E">
        <w:rPr>
          <w:rFonts w:ascii="garamond" w:hAnsi="garamond"/>
          <w:b/>
          <w:bCs/>
        </w:rPr>
        <w:t>Refiguration</w:t>
      </w:r>
      <w:r w:rsidR="002828B4">
        <w:rPr>
          <w:rFonts w:ascii="garamond" w:hAnsi="garamond"/>
          <w:b/>
          <w:bCs/>
        </w:rPr>
        <w:t>, Worldmaking</w:t>
      </w:r>
      <w:r w:rsidRPr="00CE316E">
        <w:rPr>
          <w:rFonts w:ascii="garamond" w:hAnsi="garamond"/>
          <w:b/>
          <w:bCs/>
        </w:rPr>
        <w:t xml:space="preserve"> </w:t>
      </w:r>
    </w:p>
    <w:p w14:paraId="04E93C13" w14:textId="04469028" w:rsidR="004B7C6D" w:rsidRPr="00C3006D" w:rsidRDefault="00C3006D" w:rsidP="00C3006D">
      <w:pPr>
        <w:ind w:firstLine="720"/>
        <w:rPr>
          <w:rFonts w:ascii="garamond" w:hAnsi="garamond"/>
          <w:color w:val="000000" w:themeColor="text1"/>
        </w:rPr>
      </w:pPr>
      <w:r>
        <w:rPr>
          <w:rFonts w:ascii="garamond" w:hAnsi="garamond"/>
        </w:rPr>
        <w:t xml:space="preserve">While space takes on a range of the above-described roles in the case studies I examine below, the focus of this </w:t>
      </w:r>
      <w:r>
        <w:rPr>
          <w:rFonts w:ascii="garamond" w:hAnsi="garamond"/>
          <w:color w:val="000000" w:themeColor="text1"/>
        </w:rPr>
        <w:t xml:space="preserve">article </w:t>
      </w:r>
      <w:r>
        <w:rPr>
          <w:rFonts w:ascii="garamond" w:hAnsi="garamond"/>
        </w:rPr>
        <w:t xml:space="preserve">is on the final two roles, as they have received insufficient attention: prefiguration and refiguration. </w:t>
      </w:r>
      <w:r w:rsidR="004B7C6D" w:rsidRPr="00BC28D0">
        <w:rPr>
          <w:rFonts w:ascii="garamond" w:hAnsi="garamond"/>
          <w:color w:val="000000" w:themeColor="text1"/>
        </w:rPr>
        <w:t>In addition</w:t>
      </w:r>
      <w:r w:rsidR="004B7C6D">
        <w:rPr>
          <w:rFonts w:ascii="garamond" w:hAnsi="garamond"/>
          <w:color w:val="000000" w:themeColor="text1"/>
        </w:rPr>
        <w:t xml:space="preserve"> to these familiar roles of protest space (expressive, functional, and constitutive), space-making also targets participants’ </w:t>
      </w:r>
      <w:r w:rsidR="00504E50">
        <w:rPr>
          <w:rFonts w:ascii="garamond" w:hAnsi="garamond"/>
          <w:color w:val="000000" w:themeColor="text1"/>
        </w:rPr>
        <w:t>framing</w:t>
      </w:r>
      <w:r w:rsidR="004B7C6D">
        <w:rPr>
          <w:rFonts w:ascii="garamond" w:hAnsi="garamond"/>
          <w:color w:val="000000" w:themeColor="text1"/>
        </w:rPr>
        <w:t xml:space="preserve"> of the present and the future. I refer to these as refigurative and prefigurative roles of protest </w:t>
      </w:r>
      <w:r w:rsidR="004B7C6D" w:rsidRPr="003A505B">
        <w:rPr>
          <w:rFonts w:ascii="garamond" w:hAnsi="garamond"/>
        </w:rPr>
        <w:t>space</w:t>
      </w:r>
      <w:r w:rsidR="004B7C6D">
        <w:rPr>
          <w:rFonts w:ascii="garamond" w:hAnsi="garamond"/>
        </w:rPr>
        <w:t>, respectively</w:t>
      </w:r>
      <w:r w:rsidR="004B7C6D" w:rsidRPr="003A505B">
        <w:rPr>
          <w:rFonts w:ascii="garamond" w:hAnsi="garamond"/>
        </w:rPr>
        <w:t>. I argue that space-making refigures the political present</w:t>
      </w:r>
      <w:r w:rsidR="004B7C6D">
        <w:rPr>
          <w:rFonts w:ascii="garamond" w:hAnsi="garamond"/>
        </w:rPr>
        <w:t xml:space="preserve"> (</w:t>
      </w:r>
      <w:r w:rsidR="004B7C6D" w:rsidRPr="003A505B">
        <w:rPr>
          <w:rFonts w:ascii="garamond" w:hAnsi="garamond"/>
        </w:rPr>
        <w:t xml:space="preserve">targeting how participants </w:t>
      </w:r>
      <w:r w:rsidR="003F4145">
        <w:rPr>
          <w:rFonts w:ascii="garamond" w:hAnsi="garamond"/>
        </w:rPr>
        <w:t>experience</w:t>
      </w:r>
      <w:r w:rsidR="004B7C6D" w:rsidRPr="003A505B">
        <w:rPr>
          <w:rFonts w:ascii="garamond" w:hAnsi="garamond"/>
        </w:rPr>
        <w:t xml:space="preserve"> the </w:t>
      </w:r>
      <w:r w:rsidR="003F4145">
        <w:rPr>
          <w:rFonts w:ascii="garamond" w:hAnsi="garamond"/>
        </w:rPr>
        <w:t>built environment</w:t>
      </w:r>
      <w:r w:rsidR="004B7C6D">
        <w:rPr>
          <w:rFonts w:ascii="garamond" w:hAnsi="garamond"/>
        </w:rPr>
        <w:t>)</w:t>
      </w:r>
      <w:r w:rsidR="004B7C6D" w:rsidRPr="003A505B">
        <w:rPr>
          <w:rFonts w:ascii="garamond" w:hAnsi="garamond"/>
        </w:rPr>
        <w:t xml:space="preserve"> as well their understanding of the political landscape’s possibilities and horizons (targeting their political imagination). </w:t>
      </w:r>
      <w:r w:rsidR="004B7C6D">
        <w:rPr>
          <w:rFonts w:ascii="garamond" w:hAnsi="garamond"/>
        </w:rPr>
        <w:t>S</w:t>
      </w:r>
      <w:r w:rsidR="004B7C6D" w:rsidRPr="003A505B">
        <w:rPr>
          <w:rFonts w:ascii="garamond" w:hAnsi="garamond"/>
        </w:rPr>
        <w:t xml:space="preserve">pace is an important arena in which </w:t>
      </w:r>
      <w:r w:rsidR="003F4145">
        <w:rPr>
          <w:rFonts w:ascii="garamond" w:hAnsi="garamond"/>
        </w:rPr>
        <w:t>representational frames are</w:t>
      </w:r>
      <w:r w:rsidR="004B7C6D" w:rsidRPr="003A505B">
        <w:rPr>
          <w:rFonts w:ascii="garamond" w:hAnsi="garamond"/>
        </w:rPr>
        <w:t xml:space="preserve"> produced, and thus space-making is one arena where political possibility is contested</w:t>
      </w:r>
      <w:r w:rsidR="004B7C6D">
        <w:rPr>
          <w:rFonts w:ascii="garamond" w:hAnsi="garamond"/>
        </w:rPr>
        <w:t xml:space="preserve">. </w:t>
      </w:r>
      <w:r w:rsidR="004B7C6D" w:rsidRPr="00BC2D38">
        <w:rPr>
          <w:rFonts w:ascii="garamond" w:hAnsi="garamond"/>
        </w:rPr>
        <w:t xml:space="preserve"> </w:t>
      </w:r>
      <w:r w:rsidR="00C20B36">
        <w:rPr>
          <w:rFonts w:ascii="garamond" w:hAnsi="garamond"/>
        </w:rPr>
        <w:t xml:space="preserve">Thus, I refer to </w:t>
      </w:r>
      <w:r w:rsidR="003F4145">
        <w:rPr>
          <w:rFonts w:ascii="garamond" w:hAnsi="garamond"/>
        </w:rPr>
        <w:t>prefigu</w:t>
      </w:r>
      <w:r w:rsidR="002828B4">
        <w:rPr>
          <w:rFonts w:ascii="garamond" w:hAnsi="garamond"/>
        </w:rPr>
        <w:t>r</w:t>
      </w:r>
      <w:r w:rsidR="003F4145">
        <w:rPr>
          <w:rFonts w:ascii="garamond" w:hAnsi="garamond"/>
        </w:rPr>
        <w:t>ation and refiguration</w:t>
      </w:r>
      <w:r w:rsidR="00C20B36">
        <w:rPr>
          <w:rFonts w:ascii="garamond" w:hAnsi="garamond"/>
        </w:rPr>
        <w:t xml:space="preserve"> as ‘worldmaking’ activities, which I explain in greater detail below.</w:t>
      </w:r>
    </w:p>
    <w:p w14:paraId="09B2B057" w14:textId="77777777" w:rsidR="00B54DBC" w:rsidRDefault="00B54DBC" w:rsidP="004B7C6D">
      <w:pPr>
        <w:ind w:firstLine="720"/>
        <w:rPr>
          <w:rFonts w:ascii="garamond" w:hAnsi="garamond"/>
        </w:rPr>
      </w:pPr>
    </w:p>
    <w:p w14:paraId="2D77B0A9" w14:textId="66C6D70C" w:rsidR="00C20B36" w:rsidRPr="00B54DBC" w:rsidRDefault="00B54DBC" w:rsidP="00C20B36">
      <w:pPr>
        <w:rPr>
          <w:rFonts w:ascii="garamond" w:hAnsi="garamond"/>
          <w:i/>
          <w:iCs/>
        </w:rPr>
      </w:pPr>
      <w:r>
        <w:rPr>
          <w:rFonts w:ascii="garamond" w:hAnsi="garamond"/>
          <w:i/>
          <w:iCs/>
        </w:rPr>
        <w:t>R</w:t>
      </w:r>
      <w:r w:rsidR="00C20B36" w:rsidRPr="00B54DBC">
        <w:rPr>
          <w:rFonts w:ascii="garamond" w:hAnsi="garamond"/>
          <w:i/>
          <w:iCs/>
        </w:rPr>
        <w:t>efiguration</w:t>
      </w:r>
    </w:p>
    <w:p w14:paraId="647EAE84" w14:textId="62DA1027" w:rsidR="00C20B36" w:rsidRDefault="006C62DA" w:rsidP="00C20B36">
      <w:pPr>
        <w:ind w:firstLine="720"/>
        <w:rPr>
          <w:rFonts w:ascii="garamond" w:hAnsi="garamond"/>
          <w:color w:val="000000" w:themeColor="text1"/>
        </w:rPr>
      </w:pPr>
      <w:r>
        <w:rPr>
          <w:rFonts w:ascii="garamond" w:hAnsi="garamond"/>
          <w:color w:val="000000" w:themeColor="text1"/>
        </w:rPr>
        <w:t>Refiguration entails using material and symbolic resource to reformulate the atmosphere, activities and interactions within a space. Refiguration involves cultivating relations, conducting kinesthetic experiences, and orchestrating behaviors. Through contrast with the surrounding built environment, refigured spaces emphasize the contingency of seemingly natural or immovable spatial arrangements.</w:t>
      </w:r>
      <w:r w:rsidR="00C20B36">
        <w:rPr>
          <w:rFonts w:ascii="garamond" w:hAnsi="garamond"/>
          <w:color w:val="000000" w:themeColor="text1"/>
        </w:rPr>
        <w:t xml:space="preserve"> The </w:t>
      </w:r>
      <w:r>
        <w:rPr>
          <w:rFonts w:ascii="garamond" w:hAnsi="garamond"/>
          <w:color w:val="000000" w:themeColor="text1"/>
        </w:rPr>
        <w:t xml:space="preserve">refigured </w:t>
      </w:r>
      <w:r w:rsidR="00C20B36">
        <w:rPr>
          <w:rFonts w:ascii="garamond" w:hAnsi="garamond"/>
          <w:color w:val="000000" w:themeColor="text1"/>
        </w:rPr>
        <w:t xml:space="preserve">spaces act on the participants, including those activists who built them. By creating new political situations on a micro-scale, they offer immersive knowledge of alterative political </w:t>
      </w:r>
      <w:r w:rsidR="00C20B36" w:rsidRPr="00382719">
        <w:rPr>
          <w:rFonts w:ascii="garamond" w:hAnsi="garamond"/>
        </w:rPr>
        <w:t xml:space="preserve">arrangements. </w:t>
      </w:r>
      <w:r w:rsidR="00C20B36" w:rsidRPr="00382719">
        <w:rPr>
          <w:rFonts w:ascii="garamond" w:eastAsia="Times New Roman" w:hAnsi="garamond" w:cs="Times New Roman"/>
        </w:rPr>
        <w:t xml:space="preserve">This matters not just because the spaces become a </w:t>
      </w:r>
      <w:r>
        <w:rPr>
          <w:rFonts w:ascii="garamond" w:eastAsia="Times New Roman" w:hAnsi="garamond" w:cs="Times New Roman"/>
        </w:rPr>
        <w:t xml:space="preserve">loose </w:t>
      </w:r>
      <w:r w:rsidR="00C20B36" w:rsidRPr="00382719">
        <w:rPr>
          <w:rFonts w:ascii="garamond" w:eastAsia="Times New Roman" w:hAnsi="garamond" w:cs="Times New Roman"/>
        </w:rPr>
        <w:t xml:space="preserve">model for liberated </w:t>
      </w:r>
      <w:r>
        <w:rPr>
          <w:rFonts w:ascii="garamond" w:eastAsia="Times New Roman" w:hAnsi="garamond" w:cs="Times New Roman"/>
        </w:rPr>
        <w:t>social and political</w:t>
      </w:r>
      <w:r w:rsidR="00C20B36" w:rsidRPr="00382719">
        <w:rPr>
          <w:rFonts w:ascii="garamond" w:eastAsia="Times New Roman" w:hAnsi="garamond" w:cs="Times New Roman"/>
        </w:rPr>
        <w:t xml:space="preserve"> institutions, but because they </w:t>
      </w:r>
      <w:r>
        <w:rPr>
          <w:rFonts w:ascii="garamond" w:eastAsia="Times New Roman" w:hAnsi="garamond" w:cs="Times New Roman"/>
        </w:rPr>
        <w:t>target</w:t>
      </w:r>
      <w:r w:rsidR="00C20B36" w:rsidRPr="00382719">
        <w:rPr>
          <w:rFonts w:ascii="garamond" w:eastAsia="Times New Roman" w:hAnsi="garamond" w:cs="Times New Roman"/>
        </w:rPr>
        <w:t xml:space="preserve"> </w:t>
      </w:r>
      <w:r>
        <w:rPr>
          <w:rFonts w:ascii="garamond" w:eastAsia="Times New Roman" w:hAnsi="garamond" w:cs="Times New Roman"/>
        </w:rPr>
        <w:t>participants’</w:t>
      </w:r>
      <w:r w:rsidR="00C20B36" w:rsidRPr="00382719">
        <w:rPr>
          <w:rFonts w:ascii="garamond" w:eastAsia="Times New Roman" w:hAnsi="garamond" w:cs="Times New Roman"/>
        </w:rPr>
        <w:t xml:space="preserve"> sense of accessible and appropriate action, </w:t>
      </w:r>
      <w:r>
        <w:rPr>
          <w:rFonts w:ascii="garamond" w:eastAsia="Times New Roman" w:hAnsi="garamond" w:cs="Times New Roman"/>
        </w:rPr>
        <w:t xml:space="preserve">their </w:t>
      </w:r>
      <w:r w:rsidR="00C20B36" w:rsidRPr="00382719">
        <w:rPr>
          <w:rFonts w:ascii="garamond" w:eastAsia="Times New Roman" w:hAnsi="garamond" w:cs="Times New Roman"/>
        </w:rPr>
        <w:t xml:space="preserve">dispositions toward others, </w:t>
      </w:r>
      <w:r>
        <w:rPr>
          <w:rFonts w:ascii="garamond" w:eastAsia="Times New Roman" w:hAnsi="garamond" w:cs="Times New Roman"/>
        </w:rPr>
        <w:t>and their</w:t>
      </w:r>
      <w:r w:rsidR="00C20B36" w:rsidRPr="00382719">
        <w:rPr>
          <w:rFonts w:ascii="garamond" w:eastAsia="Times New Roman" w:hAnsi="garamond" w:cs="Times New Roman"/>
        </w:rPr>
        <w:t xml:space="preserve"> critical appraisal of the environments </w:t>
      </w:r>
      <w:r>
        <w:rPr>
          <w:rFonts w:ascii="garamond" w:eastAsia="Times New Roman" w:hAnsi="garamond" w:cs="Times New Roman"/>
        </w:rPr>
        <w:t>they</w:t>
      </w:r>
      <w:r w:rsidR="00C20B36" w:rsidRPr="00382719">
        <w:rPr>
          <w:rFonts w:ascii="garamond" w:eastAsia="Times New Roman" w:hAnsi="garamond" w:cs="Times New Roman"/>
        </w:rPr>
        <w:t xml:space="preserve"> inhabit. </w:t>
      </w:r>
      <w:r w:rsidR="00C20B36">
        <w:rPr>
          <w:rFonts w:ascii="garamond" w:hAnsi="garamond"/>
          <w:color w:val="000000" w:themeColor="text1"/>
        </w:rPr>
        <w:t>In each of these ways, the protest spaces seek to refigure the political landscape.</w:t>
      </w:r>
    </w:p>
    <w:p w14:paraId="6AF9D7F1" w14:textId="67DC1CCB" w:rsidR="00C20B36" w:rsidRDefault="006C62DA" w:rsidP="00C20B36">
      <w:pPr>
        <w:ind w:firstLine="720"/>
        <w:rPr>
          <w:rFonts w:ascii="garamond" w:eastAsia="Times New Roman" w:hAnsi="garamond" w:cs="Times New Roman"/>
        </w:rPr>
      </w:pPr>
      <w:r>
        <w:rPr>
          <w:rFonts w:ascii="garamond" w:hAnsi="garamond"/>
          <w:color w:val="000000" w:themeColor="text1"/>
        </w:rPr>
        <w:t>Refigurative spaces rely on space’s ability to frame action, conduct behavior, and shape dispositions in the first place. Like other social institutions, s</w:t>
      </w:r>
      <w:r w:rsidR="00C20B36">
        <w:rPr>
          <w:rFonts w:ascii="garamond" w:hAnsi="garamond"/>
          <w:color w:val="000000" w:themeColor="text1"/>
        </w:rPr>
        <w:t xml:space="preserve">pace functions as a constraining structure which guides </w:t>
      </w:r>
      <w:r>
        <w:rPr>
          <w:rFonts w:ascii="garamond" w:hAnsi="garamond"/>
          <w:color w:val="000000" w:themeColor="text1"/>
        </w:rPr>
        <w:t xml:space="preserve">the </w:t>
      </w:r>
      <w:r w:rsidR="00792746">
        <w:rPr>
          <w:rFonts w:ascii="garamond" w:hAnsi="garamond"/>
          <w:color w:val="000000" w:themeColor="text1"/>
        </w:rPr>
        <w:t>performances of</w:t>
      </w:r>
      <w:r w:rsidR="00C20B36">
        <w:rPr>
          <w:rFonts w:ascii="garamond" w:hAnsi="garamond"/>
          <w:color w:val="000000" w:themeColor="text1"/>
        </w:rPr>
        <w:t xml:space="preserve"> participants</w:t>
      </w:r>
      <w:r w:rsidR="00792746">
        <w:rPr>
          <w:rFonts w:ascii="garamond" w:hAnsi="garamond"/>
          <w:color w:val="000000" w:themeColor="text1"/>
        </w:rPr>
        <w:t xml:space="preserve"> as well as their representational practices</w:t>
      </w:r>
      <w:r w:rsidR="00C20B36">
        <w:rPr>
          <w:rFonts w:ascii="garamond" w:hAnsi="garamond"/>
          <w:color w:val="000000" w:themeColor="text1"/>
        </w:rPr>
        <w:t>.</w:t>
      </w:r>
      <w:r>
        <w:rPr>
          <w:rFonts w:ascii="garamond" w:hAnsi="garamond"/>
          <w:color w:val="000000" w:themeColor="text1"/>
        </w:rPr>
        <w:t xml:space="preserve"> </w:t>
      </w:r>
      <w:r w:rsidR="00C20B36">
        <w:rPr>
          <w:rFonts w:ascii="garamond" w:hAnsi="garamond"/>
          <w:color w:val="000000" w:themeColor="text1"/>
        </w:rPr>
        <w:t>In order to understand</w:t>
      </w:r>
      <w:r>
        <w:rPr>
          <w:rFonts w:ascii="garamond" w:hAnsi="garamond"/>
          <w:color w:val="000000" w:themeColor="text1"/>
        </w:rPr>
        <w:t xml:space="preserve"> </w:t>
      </w:r>
      <w:r w:rsidR="00792746">
        <w:rPr>
          <w:rFonts w:ascii="garamond" w:hAnsi="garamond"/>
          <w:color w:val="000000" w:themeColor="text1"/>
        </w:rPr>
        <w:t>the relationship between the two</w:t>
      </w:r>
      <w:r w:rsidR="00C20B36">
        <w:rPr>
          <w:rFonts w:ascii="garamond" w:hAnsi="garamond"/>
          <w:color w:val="000000" w:themeColor="text1"/>
        </w:rPr>
        <w:t xml:space="preserve">, it is useful to turn to ritual theory. Like space, </w:t>
      </w:r>
      <w:r w:rsidR="00C20B36" w:rsidRPr="004F2315">
        <w:rPr>
          <w:rFonts w:ascii="garamond" w:hAnsi="garamond"/>
        </w:rPr>
        <w:lastRenderedPageBreak/>
        <w:t>rituals</w:t>
      </w:r>
      <w:r w:rsidR="00C20B36" w:rsidRPr="004F2315">
        <w:rPr>
          <w:rFonts w:ascii="garamond" w:eastAsia="Times New Roman" w:hAnsi="garamond" w:cs="Times New Roman"/>
        </w:rPr>
        <w:t xml:space="preserve"> conduct behavior, cultivate atmosphere, and organize relations between participants. </w:t>
      </w:r>
      <w:r w:rsidR="003F4145">
        <w:rPr>
          <w:rFonts w:ascii="garamond" w:eastAsia="Times New Roman" w:hAnsi="garamond" w:cs="Times New Roman"/>
          <w:color w:val="000000" w:themeColor="text1"/>
        </w:rPr>
        <w:t>R</w:t>
      </w:r>
      <w:r w:rsidR="00C20B36">
        <w:rPr>
          <w:rFonts w:ascii="garamond" w:eastAsia="Times New Roman" w:hAnsi="garamond" w:cs="Times New Roman"/>
          <w:color w:val="000000" w:themeColor="text1"/>
        </w:rPr>
        <w:t>itual</w:t>
      </w:r>
      <w:r w:rsidR="003F4145">
        <w:rPr>
          <w:rFonts w:ascii="garamond" w:eastAsia="Times New Roman" w:hAnsi="garamond" w:cs="Times New Roman"/>
          <w:color w:val="000000" w:themeColor="text1"/>
        </w:rPr>
        <w:t xml:space="preserve"> </w:t>
      </w:r>
      <w:r w:rsidR="00C20B36">
        <w:rPr>
          <w:rFonts w:ascii="garamond" w:eastAsia="Times New Roman" w:hAnsi="garamond" w:cs="Times New Roman"/>
          <w:color w:val="000000" w:themeColor="text1"/>
        </w:rPr>
        <w:t>p</w:t>
      </w:r>
      <w:r w:rsidR="00C20B36" w:rsidRPr="00AA2CD7">
        <w:rPr>
          <w:rFonts w:ascii="garamond" w:eastAsia="Times New Roman" w:hAnsi="garamond" w:cs="Times New Roman"/>
          <w:color w:val="000000" w:themeColor="text1"/>
        </w:rPr>
        <w:t>ractice</w:t>
      </w:r>
      <w:r w:rsidR="003F4145">
        <w:rPr>
          <w:rFonts w:ascii="garamond" w:eastAsia="Times New Roman" w:hAnsi="garamond" w:cs="Times New Roman"/>
          <w:color w:val="000000" w:themeColor="text1"/>
        </w:rPr>
        <w:t>s provide a framework to</w:t>
      </w:r>
      <w:r w:rsidR="00C20B36" w:rsidRPr="00AA2CD7">
        <w:rPr>
          <w:rFonts w:ascii="garamond" w:eastAsia="Times New Roman" w:hAnsi="garamond" w:cs="Times New Roman"/>
          <w:color w:val="000000" w:themeColor="text1"/>
        </w:rPr>
        <w:t xml:space="preserve"> negotiate social boundaries, meanings, and normative commitments</w:t>
      </w:r>
      <w:r w:rsidR="00C20B36">
        <w:rPr>
          <w:rFonts w:ascii="garamond" w:eastAsia="Times New Roman" w:hAnsi="garamond" w:cs="Times New Roman"/>
          <w:color w:val="000000" w:themeColor="text1"/>
        </w:rPr>
        <w:t>.</w:t>
      </w:r>
      <w:r w:rsidR="00C20B36">
        <w:rPr>
          <w:rStyle w:val="FootnoteReference"/>
          <w:rFonts w:ascii="garamond" w:eastAsia="Times New Roman" w:hAnsi="garamond" w:cs="Times New Roman"/>
          <w:color w:val="000000" w:themeColor="text1"/>
        </w:rPr>
        <w:footnoteReference w:id="13"/>
      </w:r>
      <w:r w:rsidR="00C20B36">
        <w:rPr>
          <w:rFonts w:ascii="garamond" w:eastAsia="Times New Roman" w:hAnsi="garamond" w:cs="Times New Roman"/>
        </w:rPr>
        <w:t xml:space="preserve"> For example, Saba Mahmood describes in </w:t>
      </w:r>
      <w:r w:rsidR="00C20B36">
        <w:rPr>
          <w:rFonts w:ascii="garamond" w:eastAsia="Times New Roman" w:hAnsi="garamond" w:cs="Times New Roman"/>
          <w:i/>
          <w:iCs/>
        </w:rPr>
        <w:t>Politics of Piety</w:t>
      </w:r>
      <w:r w:rsidR="00C20B36">
        <w:rPr>
          <w:rFonts w:ascii="garamond" w:eastAsia="Times New Roman" w:hAnsi="garamond" w:cs="Times New Roman"/>
        </w:rPr>
        <w:t xml:space="preserve"> how prayer (re)aligns worshipers to each other and to the world. As a ritual, prayer consists of structured behavior, symbolism, and a cultivated atmosphere. By engaging in this ritual, worshipers perform the relationships and dispositions that prayer entails: alignment of activity toward God, emotional sensitivity to the divine, and management of unholy emotions. But performance is also formative. Mahmood explains that “</w:t>
      </w:r>
      <w:r w:rsidR="00C20B36" w:rsidRPr="00663BA6">
        <w:rPr>
          <w:rFonts w:ascii="garamond" w:eastAsia="Times New Roman" w:hAnsi="garamond" w:cs="Times New Roman"/>
        </w:rPr>
        <w:t>ritual performances are understood to be disciplinary practices through</w:t>
      </w:r>
      <w:r w:rsidR="00C20B36">
        <w:rPr>
          <w:rFonts w:ascii="garamond" w:eastAsia="Times New Roman" w:hAnsi="garamond" w:cs="Times New Roman"/>
        </w:rPr>
        <w:t xml:space="preserve"> </w:t>
      </w:r>
      <w:r w:rsidR="00C20B36" w:rsidRPr="00663BA6">
        <w:rPr>
          <w:rFonts w:ascii="garamond" w:eastAsia="Times New Roman" w:hAnsi="garamond" w:cs="Times New Roman"/>
        </w:rPr>
        <w:t>which pious dispositions are formed</w:t>
      </w:r>
      <w:r w:rsidR="00C20B36">
        <w:rPr>
          <w:rFonts w:ascii="garamond" w:eastAsia="Times New Roman" w:hAnsi="garamond" w:cs="Times New Roman"/>
        </w:rPr>
        <w:t>…</w:t>
      </w:r>
      <w:r w:rsidR="00C20B36" w:rsidRPr="001F586A">
        <w:rPr>
          <w:rFonts w:ascii="garamond" w:eastAsia="Times New Roman" w:hAnsi="garamond" w:cs="Times New Roman"/>
        </w:rPr>
        <w:t>Thus, ritual worship, for the women I worked</w:t>
      </w:r>
      <w:r w:rsidR="00C20B36">
        <w:rPr>
          <w:rFonts w:ascii="garamond" w:eastAsia="Times New Roman" w:hAnsi="garamond" w:cs="Times New Roman"/>
        </w:rPr>
        <w:t xml:space="preserve"> </w:t>
      </w:r>
      <w:r w:rsidR="00C20B36" w:rsidRPr="001F586A">
        <w:rPr>
          <w:rFonts w:ascii="garamond" w:eastAsia="Times New Roman" w:hAnsi="garamond" w:cs="Times New Roman"/>
        </w:rPr>
        <w:t xml:space="preserve">with, was both enacted </w:t>
      </w:r>
      <w:r w:rsidR="00C20B36" w:rsidRPr="001F586A">
        <w:rPr>
          <w:rFonts w:ascii="garamond" w:eastAsia="Times New Roman" w:hAnsi="garamond" w:cs="Times New Roman"/>
          <w:i/>
          <w:iCs/>
        </w:rPr>
        <w:t>through</w:t>
      </w:r>
      <w:r w:rsidR="00C20B36" w:rsidRPr="001F586A">
        <w:rPr>
          <w:rFonts w:ascii="garamond" w:eastAsia="Times New Roman" w:hAnsi="garamond" w:cs="Times New Roman"/>
        </w:rPr>
        <w:t xml:space="preserve">, and </w:t>
      </w:r>
      <w:r w:rsidR="00C20B36" w:rsidRPr="001F586A">
        <w:rPr>
          <w:rFonts w:ascii="garamond" w:eastAsia="Times New Roman" w:hAnsi="garamond" w:cs="Times New Roman"/>
          <w:i/>
          <w:iCs/>
        </w:rPr>
        <w:t>productive of</w:t>
      </w:r>
      <w:r w:rsidR="00C20B36" w:rsidRPr="001F586A">
        <w:rPr>
          <w:rFonts w:ascii="garamond" w:eastAsia="Times New Roman" w:hAnsi="garamond" w:cs="Times New Roman"/>
        </w:rPr>
        <w:t>, intentionality, volitional behavior, and sentiments.</w:t>
      </w:r>
      <w:r w:rsidR="00C20B36">
        <w:rPr>
          <w:rFonts w:ascii="garamond" w:eastAsia="Times New Roman" w:hAnsi="garamond" w:cs="Times New Roman"/>
        </w:rPr>
        <w:t>”</w:t>
      </w:r>
      <w:r w:rsidR="00C20B36">
        <w:rPr>
          <w:rStyle w:val="FootnoteReference"/>
          <w:rFonts w:ascii="garamond" w:eastAsia="Times New Roman" w:hAnsi="garamond" w:cs="Times New Roman"/>
        </w:rPr>
        <w:footnoteReference w:id="14"/>
      </w:r>
      <w:r w:rsidR="00C20B36" w:rsidRPr="002252DE">
        <w:rPr>
          <w:rFonts w:ascii="garamond" w:eastAsia="Times New Roman" w:hAnsi="garamond" w:cs="Times New Roman"/>
          <w:color w:val="000000" w:themeColor="text1"/>
        </w:rPr>
        <w:t xml:space="preserve"> </w:t>
      </w:r>
      <w:r w:rsidR="00C20B36">
        <w:rPr>
          <w:rFonts w:ascii="garamond" w:eastAsia="Times New Roman" w:hAnsi="garamond" w:cs="Times New Roman"/>
          <w:color w:val="000000" w:themeColor="text1"/>
        </w:rPr>
        <w:t>Rituals</w:t>
      </w:r>
      <w:r w:rsidR="00C20B36" w:rsidRPr="00AA2CD7">
        <w:rPr>
          <w:rFonts w:ascii="garamond" w:eastAsia="Times New Roman" w:hAnsi="garamond" w:cs="Times New Roman"/>
          <w:color w:val="000000" w:themeColor="text1"/>
        </w:rPr>
        <w:t xml:space="preserve"> aim to transform our habits, dispositions, and orientations.</w:t>
      </w:r>
    </w:p>
    <w:p w14:paraId="0DDE182A" w14:textId="3DE42E2F" w:rsidR="00C20B36" w:rsidRPr="0091011F" w:rsidRDefault="00C20B36" w:rsidP="00C20B36">
      <w:pPr>
        <w:ind w:firstLine="720"/>
        <w:rPr>
          <w:rFonts w:ascii="garamond" w:eastAsia="Times New Roman" w:hAnsi="garamond" w:cs="Times New Roman"/>
        </w:rPr>
      </w:pPr>
      <w:r>
        <w:rPr>
          <w:rFonts w:ascii="garamond" w:eastAsia="Times New Roman" w:hAnsi="garamond" w:cs="Times New Roman"/>
        </w:rPr>
        <w:t>While space is</w:t>
      </w:r>
      <w:r w:rsidR="00792746">
        <w:rPr>
          <w:rFonts w:ascii="garamond" w:eastAsia="Times New Roman" w:hAnsi="garamond" w:cs="Times New Roman"/>
        </w:rPr>
        <w:t xml:space="preserve"> certainly</w:t>
      </w:r>
      <w:r>
        <w:rPr>
          <w:rFonts w:ascii="garamond" w:eastAsia="Times New Roman" w:hAnsi="garamond" w:cs="Times New Roman"/>
        </w:rPr>
        <w:t xml:space="preserve"> less formulaic than ritual, it structures practice, cultivates atmosphere, and organizes relations among participants (and between participants and institutions) in similar ways. Michel Foucault’s account of the panopticon is perhaps the most famous articulation of this argument.</w:t>
      </w:r>
      <w:r>
        <w:rPr>
          <w:rStyle w:val="FootnoteReference"/>
          <w:rFonts w:ascii="garamond" w:eastAsia="Times New Roman" w:hAnsi="garamond" w:cs="Times New Roman"/>
        </w:rPr>
        <w:footnoteReference w:id="15"/>
      </w:r>
      <w:r>
        <w:rPr>
          <w:rFonts w:ascii="garamond" w:eastAsia="Times New Roman" w:hAnsi="garamond" w:cs="Times New Roman"/>
        </w:rPr>
        <w:t xml:space="preserve"> Foucault analyzes a form of prison described by Jeremy Bentham in which prisoners are detained in cells arrayed around a central watchtower. Whether a warden is actually present in the watchtower ceases to matter, as the architecture functions as a ‘disciplinary mechanism’ which transforms the prisoner into an isolated individual—an ideal subject for state discipline. “The crowd, a compact mass, a locus of multiple exchanges, individualities merging together, a collective effect, is abolished and replaced by a collection of separated individualities,” Foucault writes. “He is seen but does not see; he is the object of information, never a subject in communication.”</w:t>
      </w:r>
      <w:r>
        <w:rPr>
          <w:rStyle w:val="FootnoteReference"/>
          <w:rFonts w:ascii="garamond" w:eastAsia="Times New Roman" w:hAnsi="garamond" w:cs="Times New Roman"/>
        </w:rPr>
        <w:footnoteReference w:id="16"/>
      </w:r>
      <w:r>
        <w:rPr>
          <w:rFonts w:ascii="garamond" w:eastAsia="Times New Roman" w:hAnsi="garamond" w:cs="Times New Roman"/>
        </w:rPr>
        <w:t xml:space="preserve"> </w:t>
      </w:r>
      <w:r w:rsidRPr="00A07FF5">
        <w:rPr>
          <w:rFonts w:ascii="garamond" w:eastAsia="Times New Roman" w:hAnsi="garamond" w:cs="Times New Roman"/>
        </w:rPr>
        <w:t xml:space="preserve">Foucault’s panopticon is most famous </w:t>
      </w:r>
      <w:r>
        <w:rPr>
          <w:rFonts w:ascii="garamond" w:eastAsia="Times New Roman" w:hAnsi="garamond" w:cs="Times New Roman"/>
        </w:rPr>
        <w:t>as a metonym for</w:t>
      </w:r>
      <w:r w:rsidRPr="00A07FF5">
        <w:rPr>
          <w:rFonts w:ascii="garamond" w:eastAsia="Times New Roman" w:hAnsi="garamond" w:cs="Times New Roman"/>
        </w:rPr>
        <w:t xml:space="preserve"> his </w:t>
      </w:r>
      <w:r>
        <w:rPr>
          <w:rFonts w:ascii="garamond" w:eastAsia="Times New Roman" w:hAnsi="garamond" w:cs="Times New Roman"/>
        </w:rPr>
        <w:t xml:space="preserve">historical </w:t>
      </w:r>
      <w:r w:rsidRPr="00A07FF5">
        <w:rPr>
          <w:rFonts w:ascii="garamond" w:eastAsia="Times New Roman" w:hAnsi="garamond" w:cs="Times New Roman"/>
        </w:rPr>
        <w:t xml:space="preserve">account of </w:t>
      </w:r>
      <w:r>
        <w:rPr>
          <w:rFonts w:ascii="garamond" w:eastAsia="Times New Roman" w:hAnsi="garamond" w:cs="Times New Roman"/>
        </w:rPr>
        <w:t xml:space="preserve">the </w:t>
      </w:r>
      <w:r w:rsidRPr="00A07FF5">
        <w:rPr>
          <w:rFonts w:ascii="garamond" w:eastAsia="Times New Roman" w:hAnsi="garamond" w:cs="Times New Roman"/>
        </w:rPr>
        <w:t>internalization of state power through surveillance</w:t>
      </w:r>
      <w:r>
        <w:rPr>
          <w:rFonts w:ascii="garamond" w:eastAsia="Times New Roman" w:hAnsi="garamond" w:cs="Times New Roman"/>
        </w:rPr>
        <w:t xml:space="preserve"> in the modern era</w:t>
      </w:r>
      <w:r w:rsidRPr="00A07FF5">
        <w:rPr>
          <w:rFonts w:ascii="garamond" w:eastAsia="Times New Roman" w:hAnsi="garamond" w:cs="Times New Roman"/>
        </w:rPr>
        <w:t>,</w:t>
      </w:r>
      <w:r>
        <w:rPr>
          <w:rFonts w:ascii="garamond" w:eastAsia="Times New Roman" w:hAnsi="garamond" w:cs="Times New Roman"/>
        </w:rPr>
        <w:t xml:space="preserve"> but on a more straight-forward level he is also arguing for architecture’s ability to structure practice and social relations, and thus to shape the dispositions of subjects within it.  </w:t>
      </w:r>
    </w:p>
    <w:p w14:paraId="50C65A2F" w14:textId="11A07E7D" w:rsidR="00C20B36" w:rsidRDefault="00C20B36" w:rsidP="00C20B36">
      <w:pPr>
        <w:ind w:firstLine="720"/>
        <w:rPr>
          <w:rFonts w:ascii="garamond" w:eastAsia="Times New Roman" w:hAnsi="garamond" w:cs="Times New Roman"/>
          <w:color w:val="000000" w:themeColor="text1"/>
        </w:rPr>
      </w:pPr>
      <w:r>
        <w:rPr>
          <w:rFonts w:ascii="garamond" w:eastAsia="Times New Roman" w:hAnsi="garamond" w:cs="Times New Roman"/>
        </w:rPr>
        <w:t xml:space="preserve">Foucault’s picture of space </w:t>
      </w:r>
      <w:r w:rsidR="009E4C74">
        <w:rPr>
          <w:rFonts w:ascii="garamond" w:eastAsia="Times New Roman" w:hAnsi="garamond" w:cs="Times New Roman"/>
        </w:rPr>
        <w:t>characterizes</w:t>
      </w:r>
      <w:r>
        <w:rPr>
          <w:rFonts w:ascii="garamond" w:eastAsia="Times New Roman" w:hAnsi="garamond" w:cs="Times New Roman"/>
        </w:rPr>
        <w:t xml:space="preserve"> it as a tool for translating institutional power into subject-formation, seeming leav</w:t>
      </w:r>
      <w:r w:rsidR="009E4C74">
        <w:rPr>
          <w:rFonts w:ascii="garamond" w:eastAsia="Times New Roman" w:hAnsi="garamond" w:cs="Times New Roman"/>
        </w:rPr>
        <w:t>ing</w:t>
      </w:r>
      <w:r>
        <w:rPr>
          <w:rFonts w:ascii="garamond" w:eastAsia="Times New Roman" w:hAnsi="garamond" w:cs="Times New Roman"/>
        </w:rPr>
        <w:t xml:space="preserve"> little room for space’s role as a tool of resistance.</w:t>
      </w:r>
      <w:r>
        <w:rPr>
          <w:rStyle w:val="FootnoteReference"/>
          <w:rFonts w:ascii="garamond" w:eastAsia="Times New Roman" w:hAnsi="garamond" w:cs="Times New Roman"/>
        </w:rPr>
        <w:footnoteReference w:id="17"/>
      </w:r>
      <w:r>
        <w:rPr>
          <w:rFonts w:ascii="garamond" w:eastAsia="Times New Roman" w:hAnsi="garamond" w:cs="Times New Roman"/>
        </w:rPr>
        <w:t xml:space="preserve"> We get a better account</w:t>
      </w:r>
      <w:r w:rsidR="009E4C74">
        <w:rPr>
          <w:rFonts w:ascii="garamond" w:eastAsia="Times New Roman" w:hAnsi="garamond" w:cs="Times New Roman"/>
        </w:rPr>
        <w:t xml:space="preserve"> (</w:t>
      </w:r>
      <w:r>
        <w:rPr>
          <w:rFonts w:ascii="garamond" w:eastAsia="Times New Roman" w:hAnsi="garamond" w:cs="Times New Roman"/>
        </w:rPr>
        <w:t xml:space="preserve">which considers </w:t>
      </w:r>
      <w:r w:rsidR="009E4C74">
        <w:rPr>
          <w:rFonts w:ascii="garamond" w:eastAsia="Times New Roman" w:hAnsi="garamond" w:cs="Times New Roman"/>
        </w:rPr>
        <w:t xml:space="preserve">how </w:t>
      </w:r>
      <w:r>
        <w:rPr>
          <w:rFonts w:ascii="garamond" w:eastAsia="Times New Roman" w:hAnsi="garamond" w:cs="Times New Roman"/>
        </w:rPr>
        <w:t>social institutions</w:t>
      </w:r>
      <w:r w:rsidR="009E4C74">
        <w:rPr>
          <w:rFonts w:ascii="garamond" w:eastAsia="Times New Roman" w:hAnsi="garamond" w:cs="Times New Roman"/>
        </w:rPr>
        <w:t xml:space="preserve"> can be wielded as a tool for </w:t>
      </w:r>
      <w:r>
        <w:rPr>
          <w:rFonts w:ascii="garamond" w:eastAsia="Times New Roman" w:hAnsi="garamond" w:cs="Times New Roman"/>
        </w:rPr>
        <w:t>contestation from below</w:t>
      </w:r>
      <w:r w:rsidR="009E4C74">
        <w:rPr>
          <w:rFonts w:ascii="garamond" w:eastAsia="Times New Roman" w:hAnsi="garamond" w:cs="Times New Roman"/>
        </w:rPr>
        <w:t>)</w:t>
      </w:r>
      <w:r>
        <w:rPr>
          <w:rFonts w:ascii="garamond" w:eastAsia="Times New Roman" w:hAnsi="garamond" w:cs="Times New Roman"/>
        </w:rPr>
        <w:t xml:space="preserve"> by once again turning to ritual. Like space,</w:t>
      </w:r>
      <w:r w:rsidRPr="0091011F">
        <w:rPr>
          <w:rFonts w:ascii="garamond" w:eastAsia="Times New Roman" w:hAnsi="garamond" w:cs="Times New Roman"/>
        </w:rPr>
        <w:t xml:space="preserve"> ritual has often been associated with conservation of norms and reaffirmation of powerful institutions (</w:t>
      </w:r>
      <w:r>
        <w:rPr>
          <w:rFonts w:ascii="garamond" w:eastAsia="Times New Roman" w:hAnsi="garamond" w:cs="Times New Roman"/>
        </w:rPr>
        <w:t>such as</w:t>
      </w:r>
      <w:r w:rsidRPr="0091011F">
        <w:rPr>
          <w:rFonts w:ascii="garamond" w:eastAsia="Times New Roman" w:hAnsi="garamond" w:cs="Times New Roman"/>
        </w:rPr>
        <w:t xml:space="preserve"> the Church, through </w:t>
      </w:r>
      <w:r>
        <w:rPr>
          <w:rFonts w:ascii="garamond" w:eastAsia="Times New Roman" w:hAnsi="garamond" w:cs="Times New Roman"/>
        </w:rPr>
        <w:t xml:space="preserve">daily </w:t>
      </w:r>
      <w:r w:rsidRPr="0091011F">
        <w:rPr>
          <w:rFonts w:ascii="garamond" w:eastAsia="Times New Roman" w:hAnsi="garamond" w:cs="Times New Roman"/>
        </w:rPr>
        <w:t>worship; or the State, through the pledge of allegiance)</w:t>
      </w:r>
      <w:r>
        <w:rPr>
          <w:rFonts w:ascii="garamond" w:eastAsia="Times New Roman" w:hAnsi="garamond" w:cs="Times New Roman"/>
        </w:rPr>
        <w:t>. However, r</w:t>
      </w:r>
      <w:r w:rsidRPr="0091011F">
        <w:rPr>
          <w:rFonts w:ascii="garamond" w:eastAsia="Times New Roman" w:hAnsi="garamond" w:cs="Times New Roman"/>
        </w:rPr>
        <w:t xml:space="preserve">ecent theorists of ritual including Mahmood and Molly Farneth </w:t>
      </w:r>
      <w:r>
        <w:rPr>
          <w:rFonts w:ascii="garamond" w:eastAsia="Times New Roman" w:hAnsi="garamond" w:cs="Times New Roman"/>
        </w:rPr>
        <w:t xml:space="preserve">have </w:t>
      </w:r>
      <w:r w:rsidRPr="0091011F">
        <w:rPr>
          <w:rFonts w:ascii="garamond" w:eastAsia="Times New Roman" w:hAnsi="garamond" w:cs="Times New Roman"/>
        </w:rPr>
        <w:t>show</w:t>
      </w:r>
      <w:r>
        <w:rPr>
          <w:rFonts w:ascii="garamond" w:eastAsia="Times New Roman" w:hAnsi="garamond" w:cs="Times New Roman"/>
        </w:rPr>
        <w:t>n</w:t>
      </w:r>
      <w:r w:rsidRPr="0091011F">
        <w:rPr>
          <w:rFonts w:ascii="garamond" w:eastAsia="Times New Roman" w:hAnsi="garamond" w:cs="Times New Roman"/>
        </w:rPr>
        <w:t xml:space="preserve"> that rituals can also be used as a tool of agency and resistance (and in Mahmood’s case, challenged the tension between domination and submission to </w:t>
      </w:r>
      <w:r w:rsidRPr="0091011F">
        <w:rPr>
          <w:rFonts w:ascii="garamond" w:eastAsia="Times New Roman" w:hAnsi="garamond" w:cs="Times New Roman"/>
        </w:rPr>
        <w:lastRenderedPageBreak/>
        <w:t xml:space="preserve">norms). </w:t>
      </w:r>
      <w:r>
        <w:rPr>
          <w:rFonts w:ascii="garamond" w:eastAsia="Times New Roman" w:hAnsi="garamond" w:cs="Times New Roman"/>
          <w:color w:val="000000" w:themeColor="text1"/>
        </w:rPr>
        <w:t xml:space="preserve">As Farneth argues, </w:t>
      </w:r>
      <w:r w:rsidRPr="00AA2CD7">
        <w:rPr>
          <w:rFonts w:ascii="garamond" w:eastAsia="Times New Roman" w:hAnsi="garamond" w:cs="Times New Roman"/>
          <w:color w:val="000000" w:themeColor="text1"/>
        </w:rPr>
        <w:t>practice is both prefigurative and formative</w:t>
      </w:r>
      <w:r>
        <w:rPr>
          <w:rFonts w:ascii="garamond" w:eastAsia="Times New Roman" w:hAnsi="garamond" w:cs="Times New Roman"/>
          <w:color w:val="000000" w:themeColor="text1"/>
        </w:rPr>
        <w:t>.</w:t>
      </w:r>
      <w:r>
        <w:rPr>
          <w:rStyle w:val="FootnoteReference"/>
          <w:rFonts w:ascii="garamond" w:eastAsia="Times New Roman" w:hAnsi="garamond" w:cs="Times New Roman"/>
          <w:color w:val="000000" w:themeColor="text1"/>
        </w:rPr>
        <w:footnoteReference w:id="18"/>
      </w:r>
      <w:r w:rsidRPr="00AA2CD7">
        <w:rPr>
          <w:rFonts w:ascii="garamond" w:eastAsia="Times New Roman" w:hAnsi="garamond" w:cs="Times New Roman"/>
          <w:color w:val="000000" w:themeColor="text1"/>
        </w:rPr>
        <w:t xml:space="preserve"> </w:t>
      </w:r>
      <w:r w:rsidRPr="0091011F">
        <w:rPr>
          <w:rFonts w:ascii="garamond" w:eastAsia="Times New Roman" w:hAnsi="garamond" w:cs="Times New Roman"/>
        </w:rPr>
        <w:t xml:space="preserve">Farneth offers the example of American football player Colin </w:t>
      </w:r>
      <w:r w:rsidR="000E7793" w:rsidRPr="0091011F">
        <w:rPr>
          <w:rFonts w:ascii="garamond" w:eastAsia="Times New Roman" w:hAnsi="garamond" w:cs="Times New Roman"/>
        </w:rPr>
        <w:t>Kaepernick’s</w:t>
      </w:r>
      <w:r w:rsidRPr="0091011F">
        <w:rPr>
          <w:rFonts w:ascii="garamond" w:eastAsia="Times New Roman" w:hAnsi="garamond" w:cs="Times New Roman"/>
        </w:rPr>
        <w:t xml:space="preserve"> kneeling during the national anthem as ritual innovation which is both expressive and formative. Transforming ritual, as </w:t>
      </w:r>
      <w:r w:rsidR="000E7793" w:rsidRPr="0091011F">
        <w:rPr>
          <w:rFonts w:ascii="garamond" w:eastAsia="Times New Roman" w:hAnsi="garamond" w:cs="Times New Roman"/>
        </w:rPr>
        <w:t>Kaepernick</w:t>
      </w:r>
      <w:r w:rsidRPr="0091011F">
        <w:rPr>
          <w:rFonts w:ascii="garamond" w:eastAsia="Times New Roman" w:hAnsi="garamond" w:cs="Times New Roman"/>
        </w:rPr>
        <w:t xml:space="preserve"> did in kneeling during the national anthem, allows practitioners to communicate (that police violence against Black Americans is a national failure) as well as orient themselves (in mourning toward Black death and public commitment to social justice as such). Through ritual’s structure, its embodiment, and repetition, practice does formative work on </w:t>
      </w:r>
      <w:r w:rsidR="005C3BE7">
        <w:rPr>
          <w:rFonts w:ascii="garamond" w:eastAsia="Times New Roman" w:hAnsi="garamond" w:cs="Times New Roman"/>
        </w:rPr>
        <w:t xml:space="preserve">the </w:t>
      </w:r>
      <w:r w:rsidRPr="0091011F">
        <w:rPr>
          <w:rFonts w:ascii="garamond" w:eastAsia="Times New Roman" w:hAnsi="garamond" w:cs="Times New Roman"/>
        </w:rPr>
        <w:t>practitioners</w:t>
      </w:r>
      <w:r w:rsidR="005C3BE7">
        <w:rPr>
          <w:rFonts w:ascii="garamond" w:eastAsia="Times New Roman" w:hAnsi="garamond" w:cs="Times New Roman"/>
        </w:rPr>
        <w:t xml:space="preserve"> themselves</w:t>
      </w:r>
      <w:r w:rsidRPr="0091011F">
        <w:rPr>
          <w:rFonts w:ascii="garamond" w:eastAsia="Times New Roman" w:hAnsi="garamond" w:cs="Times New Roman"/>
        </w:rPr>
        <w:t>.</w:t>
      </w:r>
      <w:r w:rsidRPr="0091011F">
        <w:rPr>
          <w:rStyle w:val="FootnoteReference"/>
          <w:rFonts w:ascii="garamond" w:eastAsia="Times New Roman" w:hAnsi="garamond" w:cs="Times New Roman"/>
        </w:rPr>
        <w:footnoteReference w:id="19"/>
      </w:r>
      <w:r w:rsidRPr="0091011F">
        <w:rPr>
          <w:rFonts w:ascii="garamond" w:eastAsia="Times New Roman" w:hAnsi="garamond" w:cs="Times New Roman"/>
        </w:rPr>
        <w:t xml:space="preserve"> </w:t>
      </w:r>
      <w:r>
        <w:rPr>
          <w:rFonts w:ascii="garamond" w:eastAsia="Times New Roman" w:hAnsi="garamond" w:cs="Times New Roman"/>
        </w:rPr>
        <w:t>Similarly, r</w:t>
      </w:r>
      <w:r w:rsidRPr="0091011F">
        <w:rPr>
          <w:rFonts w:ascii="garamond" w:eastAsia="Times New Roman" w:hAnsi="garamond" w:cs="Times New Roman"/>
        </w:rPr>
        <w:t xml:space="preserve">adical space-making, as in protest occupations, uses space’s ability to structure practice, cultivate atmosphere, and organize participant relations to immerse participants in situations which cultivate new habits and dispositions. </w:t>
      </w:r>
      <w:r>
        <w:rPr>
          <w:rFonts w:ascii="garamond" w:eastAsia="Times New Roman" w:hAnsi="garamond" w:cs="Times New Roman"/>
        </w:rPr>
        <w:t xml:space="preserve">These social institutions are part of subject formation by directing practice and immersing subject in structured situations. </w:t>
      </w:r>
      <w:r w:rsidRPr="0064293D">
        <w:rPr>
          <w:rFonts w:ascii="garamond" w:eastAsia="Times New Roman" w:hAnsi="garamond" w:cs="Times New Roman"/>
          <w:color w:val="000000" w:themeColor="text1"/>
        </w:rPr>
        <w:t>Spacemaking—architecture in particular—has often been understood as a tool of constraint and thus the enforcement of extant power arrangements</w:t>
      </w:r>
      <w:r>
        <w:rPr>
          <w:rFonts w:ascii="garamond" w:eastAsia="Times New Roman" w:hAnsi="garamond" w:cs="Times New Roman"/>
          <w:color w:val="000000" w:themeColor="text1"/>
        </w:rPr>
        <w:t>.</w:t>
      </w:r>
      <w:r>
        <w:rPr>
          <w:rStyle w:val="FootnoteReference"/>
          <w:rFonts w:ascii="garamond" w:eastAsia="Times New Roman" w:hAnsi="garamond" w:cs="Times New Roman"/>
          <w:color w:val="000000" w:themeColor="text1"/>
        </w:rPr>
        <w:footnoteReference w:id="20"/>
      </w:r>
      <w:r w:rsidRPr="0064293D">
        <w:rPr>
          <w:rFonts w:ascii="garamond" w:eastAsia="Times New Roman" w:hAnsi="garamond" w:cs="Times New Roman"/>
          <w:color w:val="000000" w:themeColor="text1"/>
        </w:rPr>
        <w:t xml:space="preserve"> However, it is precisely the ability to impose order, constrain action, and mold atmospheres that </w:t>
      </w:r>
      <w:r>
        <w:rPr>
          <w:rFonts w:ascii="garamond" w:eastAsia="Times New Roman" w:hAnsi="garamond" w:cs="Times New Roman"/>
          <w:color w:val="000000" w:themeColor="text1"/>
        </w:rPr>
        <w:t>allow</w:t>
      </w:r>
      <w:r w:rsidR="004005E8">
        <w:rPr>
          <w:rFonts w:ascii="garamond" w:eastAsia="Times New Roman" w:hAnsi="garamond" w:cs="Times New Roman"/>
          <w:color w:val="000000" w:themeColor="text1"/>
        </w:rPr>
        <w:t>s</w:t>
      </w:r>
      <w:r>
        <w:rPr>
          <w:rFonts w:ascii="garamond" w:eastAsia="Times New Roman" w:hAnsi="garamond" w:cs="Times New Roman"/>
          <w:color w:val="000000" w:themeColor="text1"/>
        </w:rPr>
        <w:t xml:space="preserve"> </w:t>
      </w:r>
      <w:r w:rsidRPr="0064293D">
        <w:rPr>
          <w:rFonts w:ascii="garamond" w:eastAsia="Times New Roman" w:hAnsi="garamond" w:cs="Times New Roman"/>
          <w:color w:val="000000" w:themeColor="text1"/>
        </w:rPr>
        <w:t xml:space="preserve">space-making </w:t>
      </w:r>
      <w:r>
        <w:rPr>
          <w:rFonts w:ascii="garamond" w:eastAsia="Times New Roman" w:hAnsi="garamond" w:cs="Times New Roman"/>
          <w:color w:val="000000" w:themeColor="text1"/>
        </w:rPr>
        <w:t>to</w:t>
      </w:r>
      <w:r w:rsidRPr="0064293D">
        <w:rPr>
          <w:rFonts w:ascii="garamond" w:eastAsia="Times New Roman" w:hAnsi="garamond" w:cs="Times New Roman"/>
          <w:color w:val="000000" w:themeColor="text1"/>
        </w:rPr>
        <w:t xml:space="preserve"> be a radical tool of resistance</w:t>
      </w:r>
      <w:r>
        <w:rPr>
          <w:rFonts w:ascii="garamond" w:eastAsia="Times New Roman" w:hAnsi="garamond" w:cs="Times New Roman"/>
          <w:color w:val="000000" w:themeColor="text1"/>
        </w:rPr>
        <w:t>.</w:t>
      </w:r>
      <w:r>
        <w:rPr>
          <w:rStyle w:val="FootnoteReference"/>
          <w:rFonts w:ascii="garamond" w:eastAsia="Times New Roman" w:hAnsi="garamond" w:cs="Times New Roman"/>
          <w:color w:val="000000" w:themeColor="text1"/>
        </w:rPr>
        <w:footnoteReference w:id="21"/>
      </w:r>
      <w:r w:rsidRPr="0064293D">
        <w:rPr>
          <w:rFonts w:ascii="garamond" w:eastAsia="Times New Roman" w:hAnsi="garamond" w:cs="Times New Roman"/>
          <w:color w:val="000000" w:themeColor="text1"/>
        </w:rPr>
        <w:t xml:space="preserve"> </w:t>
      </w:r>
    </w:p>
    <w:p w14:paraId="43273DEB" w14:textId="77777777" w:rsidR="00533562" w:rsidRDefault="00533562" w:rsidP="00C20B36">
      <w:pPr>
        <w:rPr>
          <w:rFonts w:ascii="garamond" w:eastAsia="Times New Roman" w:hAnsi="garamond" w:cs="Times New Roman"/>
        </w:rPr>
      </w:pPr>
    </w:p>
    <w:p w14:paraId="0D9AD5F4" w14:textId="51E926CC" w:rsidR="00C20B36" w:rsidRPr="00533562" w:rsidRDefault="00533562" w:rsidP="00C20B36">
      <w:pPr>
        <w:rPr>
          <w:rFonts w:ascii="garamond" w:hAnsi="garamond"/>
          <w:i/>
          <w:iCs/>
        </w:rPr>
      </w:pPr>
      <w:r w:rsidRPr="00533562">
        <w:rPr>
          <w:rFonts w:ascii="garamond" w:hAnsi="garamond"/>
          <w:i/>
          <w:iCs/>
        </w:rPr>
        <w:t>P</w:t>
      </w:r>
      <w:r w:rsidR="00C20B36" w:rsidRPr="00533562">
        <w:rPr>
          <w:rFonts w:ascii="garamond" w:hAnsi="garamond"/>
          <w:i/>
          <w:iCs/>
        </w:rPr>
        <w:t>refiguration</w:t>
      </w:r>
    </w:p>
    <w:p w14:paraId="02B250D0" w14:textId="6D13623C" w:rsidR="004B7C6D" w:rsidRDefault="004B7C6D" w:rsidP="004B7C6D">
      <w:pPr>
        <w:ind w:firstLine="720"/>
        <w:rPr>
          <w:rFonts w:ascii="garamond" w:hAnsi="garamond"/>
          <w:color w:val="000000" w:themeColor="text1"/>
        </w:rPr>
      </w:pPr>
      <w:r>
        <w:rPr>
          <w:rFonts w:ascii="garamond" w:hAnsi="garamond"/>
        </w:rPr>
        <w:t xml:space="preserve">Carl </w:t>
      </w:r>
      <w:r w:rsidRPr="00675B72">
        <w:rPr>
          <w:rFonts w:ascii="garamond" w:hAnsi="garamond"/>
        </w:rPr>
        <w:t xml:space="preserve">Boggs describes </w:t>
      </w:r>
      <w:r>
        <w:rPr>
          <w:rFonts w:ascii="garamond" w:hAnsi="garamond"/>
        </w:rPr>
        <w:t>prefiguration</w:t>
      </w:r>
      <w:r w:rsidRPr="00675B72">
        <w:rPr>
          <w:rFonts w:ascii="garamond" w:hAnsi="garamond"/>
        </w:rPr>
        <w:t xml:space="preserve"> as </w:t>
      </w:r>
      <w:r>
        <w:rPr>
          <w:rFonts w:ascii="garamond" w:hAnsi="garamond"/>
        </w:rPr>
        <w:t>“</w:t>
      </w:r>
      <w:r w:rsidRPr="00675B72">
        <w:rPr>
          <w:rFonts w:ascii="garamond" w:hAnsi="garamond"/>
        </w:rPr>
        <w:t>the embodiment, within the ongoing political practice of a movement, of those forms of social relations, decision-making, culture, and human experience that are the ultimate goal</w:t>
      </w:r>
      <w:r>
        <w:rPr>
          <w:rFonts w:ascii="garamond" w:hAnsi="garamond"/>
        </w:rPr>
        <w:t>.</w:t>
      </w:r>
      <w:r w:rsidRPr="00675B72">
        <w:rPr>
          <w:rFonts w:ascii="garamond" w:hAnsi="garamond"/>
        </w:rPr>
        <w:t>”</w:t>
      </w:r>
      <w:r w:rsidRPr="00675B72">
        <w:rPr>
          <w:rStyle w:val="FootnoteReference"/>
          <w:rFonts w:ascii="garamond" w:hAnsi="garamond"/>
          <w:color w:val="000000" w:themeColor="text1"/>
        </w:rPr>
        <w:t xml:space="preserve"> </w:t>
      </w:r>
      <w:r w:rsidRPr="005D17DA">
        <w:rPr>
          <w:rStyle w:val="FootnoteReference"/>
          <w:rFonts w:ascii="garamond" w:hAnsi="garamond"/>
          <w:color w:val="000000" w:themeColor="text1"/>
        </w:rPr>
        <w:footnoteReference w:id="22"/>
      </w:r>
      <w:r w:rsidRPr="00675B72">
        <w:rPr>
          <w:rFonts w:ascii="garamond" w:hAnsi="garamond"/>
        </w:rPr>
        <w:t xml:space="preserve"> To be prefigurative is to bring a political goal into being by performing its micropolitics and building toward its macropolitics.</w:t>
      </w:r>
      <w:r w:rsidR="00AC1D89" w:rsidRPr="001C2338">
        <w:rPr>
          <w:rStyle w:val="FootnoteReference"/>
          <w:rFonts w:ascii="garamond" w:hAnsi="garamond"/>
          <w:color w:val="000000" w:themeColor="text1"/>
        </w:rPr>
        <w:footnoteReference w:id="23"/>
      </w:r>
      <w:r w:rsidRPr="00675B72">
        <w:rPr>
          <w:rFonts w:ascii="garamond" w:hAnsi="garamond"/>
        </w:rPr>
        <w:t xml:space="preserve"> </w:t>
      </w:r>
      <w:r>
        <w:rPr>
          <w:rFonts w:ascii="garamond" w:hAnsi="garamond"/>
        </w:rPr>
        <w:t xml:space="preserve">Space-making is </w:t>
      </w:r>
      <w:r w:rsidRPr="007B2161">
        <w:rPr>
          <w:rFonts w:ascii="garamond" w:hAnsi="garamond"/>
        </w:rPr>
        <w:t xml:space="preserve">prefigurative </w:t>
      </w:r>
      <w:r>
        <w:rPr>
          <w:rFonts w:ascii="garamond" w:hAnsi="garamond"/>
        </w:rPr>
        <w:t>in protest occupations</w:t>
      </w:r>
      <w:r w:rsidRPr="007B2161">
        <w:rPr>
          <w:rFonts w:ascii="garamond" w:hAnsi="garamond"/>
        </w:rPr>
        <w:t xml:space="preserve"> </w:t>
      </w:r>
      <w:r>
        <w:rPr>
          <w:rFonts w:ascii="garamond" w:hAnsi="garamond"/>
        </w:rPr>
        <w:t xml:space="preserve">in the way that these spaces become inhabitable </w:t>
      </w:r>
      <w:r w:rsidRPr="007B2161">
        <w:rPr>
          <w:rFonts w:ascii="garamond" w:hAnsi="garamond"/>
        </w:rPr>
        <w:t>model</w:t>
      </w:r>
      <w:r>
        <w:rPr>
          <w:rFonts w:ascii="garamond" w:hAnsi="garamond"/>
        </w:rPr>
        <w:t>s</w:t>
      </w:r>
      <w:r w:rsidRPr="007B2161">
        <w:rPr>
          <w:rFonts w:ascii="garamond" w:hAnsi="garamond"/>
        </w:rPr>
        <w:t xml:space="preserve"> to embody principles of social organization which </w:t>
      </w:r>
      <w:r>
        <w:rPr>
          <w:rFonts w:ascii="garamond" w:hAnsi="garamond"/>
        </w:rPr>
        <w:t>activists</w:t>
      </w:r>
      <w:r w:rsidRPr="007B2161">
        <w:rPr>
          <w:rFonts w:ascii="garamond" w:hAnsi="garamond"/>
        </w:rPr>
        <w:t xml:space="preserve"> understand as necessary to accompany their political ends. In other words, these are spaces not constructed </w:t>
      </w:r>
      <w:r>
        <w:rPr>
          <w:rFonts w:ascii="garamond" w:hAnsi="garamond"/>
        </w:rPr>
        <w:t>to achieve short-term strategic goals</w:t>
      </w:r>
      <w:r w:rsidRPr="007B2161">
        <w:rPr>
          <w:rFonts w:ascii="garamond" w:hAnsi="garamond"/>
        </w:rPr>
        <w:t xml:space="preserve">, but to </w:t>
      </w:r>
      <w:r>
        <w:rPr>
          <w:rFonts w:ascii="garamond" w:hAnsi="garamond"/>
        </w:rPr>
        <w:t xml:space="preserve">model </w:t>
      </w:r>
      <w:r w:rsidRPr="007B2161">
        <w:rPr>
          <w:rFonts w:ascii="garamond" w:hAnsi="garamond"/>
        </w:rPr>
        <w:t>the type of society in which political emancipation is realized.</w:t>
      </w:r>
      <w:r w:rsidRPr="005D17DA">
        <w:rPr>
          <w:rFonts w:ascii="garamond" w:hAnsi="garamond"/>
          <w:color w:val="000000" w:themeColor="text1"/>
        </w:rPr>
        <w:t xml:space="preserve"> </w:t>
      </w:r>
      <w:r>
        <w:rPr>
          <w:rFonts w:ascii="garamond" w:hAnsi="garamond"/>
          <w:color w:val="000000" w:themeColor="text1"/>
        </w:rPr>
        <w:t>Describing the Occupy Movement, David Graeber described this as the project to “</w:t>
      </w:r>
      <w:r w:rsidRPr="00586A1B">
        <w:rPr>
          <w:rFonts w:ascii="garamond" w:hAnsi="garamond"/>
          <w:color w:val="000000" w:themeColor="text1"/>
        </w:rPr>
        <w:t>create the institutions of the new society in the shell of the old</w:t>
      </w:r>
      <w:r>
        <w:rPr>
          <w:rFonts w:ascii="garamond" w:hAnsi="garamond"/>
          <w:color w:val="000000" w:themeColor="text1"/>
        </w:rPr>
        <w:t>.”</w:t>
      </w:r>
      <w:r w:rsidR="00AC7BFB">
        <w:rPr>
          <w:rStyle w:val="FootnoteReference"/>
          <w:rFonts w:ascii="garamond" w:hAnsi="garamond"/>
          <w:color w:val="000000" w:themeColor="text1"/>
        </w:rPr>
        <w:footnoteReference w:id="24"/>
      </w:r>
      <w:r>
        <w:rPr>
          <w:rFonts w:ascii="garamond" w:hAnsi="garamond"/>
          <w:color w:val="000000" w:themeColor="text1"/>
        </w:rPr>
        <w:t xml:space="preserve"> Experimentation is a persistent characteristic of prefiguration. In this guise, prefiguration is </w:t>
      </w:r>
      <w:r>
        <w:rPr>
          <w:rFonts w:ascii="garamond" w:hAnsi="garamond"/>
          <w:color w:val="000000" w:themeColor="text1"/>
        </w:rPr>
        <w:lastRenderedPageBreak/>
        <w:t>“</w:t>
      </w:r>
      <w:r w:rsidRPr="00A80EDB">
        <w:rPr>
          <w:rFonts w:ascii="garamond" w:hAnsi="garamond"/>
          <w:color w:val="000000" w:themeColor="text1"/>
        </w:rPr>
        <w:t>the continuous exercise of testing the imaginary landscapes against the necessities and the subterranean flows of daily life</w:t>
      </w:r>
      <w:r>
        <w:rPr>
          <w:rFonts w:ascii="garamond" w:hAnsi="garamond"/>
          <w:color w:val="000000" w:themeColor="text1"/>
        </w:rPr>
        <w:t>”—a sort of stress-testing models of political life.</w:t>
      </w:r>
      <w:r>
        <w:rPr>
          <w:rStyle w:val="FootnoteReference"/>
          <w:rFonts w:ascii="garamond" w:hAnsi="garamond"/>
          <w:color w:val="000000" w:themeColor="text1"/>
        </w:rPr>
        <w:footnoteReference w:id="25"/>
      </w:r>
      <w:r>
        <w:rPr>
          <w:rFonts w:ascii="garamond" w:hAnsi="garamond"/>
          <w:color w:val="000000" w:themeColor="text1"/>
        </w:rPr>
        <w:t xml:space="preserve"> As explored in the case studies below, protest occupations use space as a tool for these various goals of prefiguration: enacting ethical commitments of broader political goals, modeling desired institutions, and experimentation. </w:t>
      </w:r>
    </w:p>
    <w:p w14:paraId="366B596E" w14:textId="36C3A492" w:rsidR="004B7C6D" w:rsidRDefault="009F607C" w:rsidP="004B7C6D">
      <w:pPr>
        <w:ind w:firstLine="720"/>
        <w:rPr>
          <w:rFonts w:ascii="garamond" w:eastAsia="Times New Roman" w:hAnsi="garamond" w:cs="Times New Roman"/>
          <w:color w:val="000000" w:themeColor="text1"/>
        </w:rPr>
      </w:pPr>
      <w:r>
        <w:rPr>
          <w:rFonts w:ascii="garamond" w:eastAsia="Times New Roman" w:hAnsi="garamond" w:cs="Times New Roman"/>
        </w:rPr>
        <w:t xml:space="preserve">In addition to modeling and experimenting with alternatives, prefigurative spaces also target the horizons of possibility in the political landscape. </w:t>
      </w:r>
      <w:r w:rsidR="004B7C6D" w:rsidRPr="0091011F">
        <w:rPr>
          <w:rFonts w:ascii="garamond" w:eastAsia="Times New Roman" w:hAnsi="garamond" w:cs="Times New Roman"/>
        </w:rPr>
        <w:t xml:space="preserve">Making new environments and new practices, we also </w:t>
      </w:r>
      <w:r w:rsidR="004B7C6D">
        <w:rPr>
          <w:rFonts w:ascii="garamond" w:eastAsia="Times New Roman" w:hAnsi="garamond" w:cs="Times New Roman"/>
        </w:rPr>
        <w:t xml:space="preserve">stretch </w:t>
      </w:r>
      <w:r>
        <w:rPr>
          <w:rFonts w:ascii="garamond" w:eastAsia="Times New Roman" w:hAnsi="garamond" w:cs="Times New Roman"/>
        </w:rPr>
        <w:t>our sense of political possibility.</w:t>
      </w:r>
      <w:r w:rsidR="004B7C6D">
        <w:rPr>
          <w:rFonts w:ascii="garamond" w:eastAsia="Times New Roman" w:hAnsi="garamond" w:cs="Times New Roman"/>
        </w:rPr>
        <w:t xml:space="preserve"> </w:t>
      </w:r>
      <w:r w:rsidR="00442FDF">
        <w:rPr>
          <w:rFonts w:ascii="garamond" w:eastAsia="Times New Roman" w:hAnsi="garamond" w:cs="Times New Roman"/>
        </w:rPr>
        <w:t xml:space="preserve">Pierre </w:t>
      </w:r>
      <w:r w:rsidR="004B7C6D" w:rsidRPr="0091011F">
        <w:rPr>
          <w:rFonts w:ascii="garamond" w:eastAsia="Times New Roman" w:hAnsi="garamond" w:cs="Times New Roman"/>
        </w:rPr>
        <w:t xml:space="preserve">Bourdieu helps us understand how </w:t>
      </w:r>
      <w:r w:rsidR="005C4580">
        <w:rPr>
          <w:rFonts w:ascii="garamond" w:eastAsia="Times New Roman" w:hAnsi="garamond" w:cs="Times New Roman"/>
        </w:rPr>
        <w:t xml:space="preserve">our sense of </w:t>
      </w:r>
      <w:r w:rsidR="004B7C6D" w:rsidRPr="0091011F">
        <w:rPr>
          <w:rFonts w:ascii="garamond" w:eastAsia="Times New Roman" w:hAnsi="garamond" w:cs="Times New Roman"/>
        </w:rPr>
        <w:t xml:space="preserve">possibility </w:t>
      </w:r>
      <w:r w:rsidR="005C4580">
        <w:rPr>
          <w:rFonts w:ascii="garamond" w:eastAsia="Times New Roman" w:hAnsi="garamond" w:cs="Times New Roman"/>
        </w:rPr>
        <w:t>is rooted in</w:t>
      </w:r>
      <w:r w:rsidR="004B7C6D" w:rsidRPr="0091011F">
        <w:rPr>
          <w:rFonts w:ascii="garamond" w:eastAsia="Times New Roman" w:hAnsi="garamond" w:cs="Times New Roman"/>
        </w:rPr>
        <w:t xml:space="preserve"> our practices. </w:t>
      </w:r>
      <w:r w:rsidR="004B7C6D" w:rsidRPr="00CA307C">
        <w:rPr>
          <w:rFonts w:ascii="garamond" w:eastAsia="Times New Roman" w:hAnsi="garamond" w:cs="Times New Roman"/>
          <w:color w:val="000000" w:themeColor="text1"/>
        </w:rPr>
        <w:t>Bourdieu, though</w:t>
      </w:r>
      <w:r w:rsidR="004B7C6D">
        <w:rPr>
          <w:rFonts w:ascii="garamond" w:eastAsia="Times New Roman" w:hAnsi="garamond" w:cs="Times New Roman"/>
          <w:color w:val="000000" w:themeColor="text1"/>
        </w:rPr>
        <w:t xml:space="preserve"> more well known for his theory of how practices are structured</w:t>
      </w:r>
      <w:r w:rsidR="004B7C6D" w:rsidRPr="00CA307C">
        <w:rPr>
          <w:rFonts w:ascii="garamond" w:eastAsia="Times New Roman" w:hAnsi="garamond" w:cs="Times New Roman"/>
          <w:color w:val="000000" w:themeColor="text1"/>
        </w:rPr>
        <w:t xml:space="preserve">, </w:t>
      </w:r>
      <w:r w:rsidR="004B7C6D">
        <w:rPr>
          <w:rFonts w:ascii="garamond" w:eastAsia="Times New Roman" w:hAnsi="garamond" w:cs="Times New Roman"/>
          <w:color w:val="000000" w:themeColor="text1"/>
        </w:rPr>
        <w:t>also offers a useful account of how practice in turn structures our understanding of the world around us, from its contours to its limits.</w:t>
      </w:r>
      <w:r w:rsidR="004B7C6D">
        <w:rPr>
          <w:rStyle w:val="FootnoteReference"/>
          <w:rFonts w:ascii="garamond" w:eastAsia="Times New Roman" w:hAnsi="garamond" w:cs="Times New Roman"/>
          <w:color w:val="000000" w:themeColor="text1"/>
        </w:rPr>
        <w:footnoteReference w:id="26"/>
      </w:r>
      <w:r w:rsidR="004B7C6D">
        <w:rPr>
          <w:rFonts w:ascii="garamond" w:eastAsia="Times New Roman" w:hAnsi="garamond" w:cs="Times New Roman"/>
          <w:color w:val="000000" w:themeColor="text1"/>
        </w:rPr>
        <w:t xml:space="preserve"> His work is fundamentally interested in showing that the ways we move through the world reflect and reproduce conceptual categories and our sense of self. Movement of the body is key in this. “Bodily hexis is political mythology realized, </w:t>
      </w:r>
      <w:r w:rsidR="004B7C6D">
        <w:rPr>
          <w:rFonts w:ascii="garamond" w:eastAsia="Times New Roman" w:hAnsi="garamond" w:cs="Times New Roman"/>
          <w:i/>
          <w:iCs/>
          <w:color w:val="000000" w:themeColor="text1"/>
        </w:rPr>
        <w:t>em-bodied</w:t>
      </w:r>
      <w:r w:rsidR="004B7C6D">
        <w:rPr>
          <w:rFonts w:ascii="garamond" w:eastAsia="Times New Roman" w:hAnsi="garamond" w:cs="Times New Roman"/>
          <w:color w:val="000000" w:themeColor="text1"/>
        </w:rPr>
        <w:t>, turned into a permanent disposition, a durable way of standing, speaking, walking, and thereby of feeling and thinking.”</w:t>
      </w:r>
      <w:r w:rsidR="004B7C6D">
        <w:rPr>
          <w:rStyle w:val="FootnoteReference"/>
          <w:rFonts w:ascii="garamond" w:eastAsia="Times New Roman" w:hAnsi="garamond" w:cs="Times New Roman"/>
          <w:color w:val="000000" w:themeColor="text1"/>
        </w:rPr>
        <w:footnoteReference w:id="27"/>
      </w:r>
      <w:r w:rsidR="004B7C6D">
        <w:rPr>
          <w:rFonts w:ascii="garamond" w:eastAsia="Times New Roman" w:hAnsi="garamond" w:cs="Times New Roman"/>
          <w:color w:val="000000" w:themeColor="text1"/>
        </w:rPr>
        <w:t xml:space="preserve"> As Bourdieu explains more pithily: “adapting a phrase of Proust’s, one might say that arms and legs are full of numb imperatives.”</w:t>
      </w:r>
      <w:r w:rsidR="004B7C6D">
        <w:rPr>
          <w:rStyle w:val="FootnoteReference"/>
          <w:rFonts w:ascii="garamond" w:eastAsia="Times New Roman" w:hAnsi="garamond" w:cs="Times New Roman"/>
          <w:color w:val="000000" w:themeColor="text1"/>
        </w:rPr>
        <w:footnoteReference w:id="28"/>
      </w:r>
      <w:r w:rsidR="004B7C6D">
        <w:rPr>
          <w:rFonts w:ascii="garamond" w:eastAsia="Times New Roman" w:hAnsi="garamond" w:cs="Times New Roman"/>
          <w:color w:val="000000" w:themeColor="text1"/>
        </w:rPr>
        <w:t xml:space="preserve"> For Bourdieu, this tends to be a self-affirming process. </w:t>
      </w:r>
      <w:r w:rsidR="004B7C6D" w:rsidRPr="00724A07">
        <w:rPr>
          <w:rFonts w:ascii="garamond" w:eastAsia="Times New Roman" w:hAnsi="garamond" w:cs="Times New Roman"/>
          <w:color w:val="000000" w:themeColor="text1"/>
        </w:rPr>
        <w:t xml:space="preserve">Our </w:t>
      </w:r>
      <w:r w:rsidR="004B7C6D">
        <w:rPr>
          <w:rFonts w:ascii="garamond" w:eastAsia="Times New Roman" w:hAnsi="garamond" w:cs="Times New Roman"/>
          <w:color w:val="000000" w:themeColor="text1"/>
        </w:rPr>
        <w:t>dispositions</w:t>
      </w:r>
      <w:r w:rsidR="004B7C6D" w:rsidRPr="00724A07">
        <w:rPr>
          <w:rFonts w:ascii="garamond" w:eastAsia="Times New Roman" w:hAnsi="garamond" w:cs="Times New Roman"/>
          <w:color w:val="000000" w:themeColor="text1"/>
        </w:rPr>
        <w:t xml:space="preserve"> tend to be compatible with the conditions which generate them</w:t>
      </w:r>
      <w:r w:rsidR="004B7C6D">
        <w:rPr>
          <w:rFonts w:ascii="garamond" w:eastAsia="Times New Roman" w:hAnsi="garamond" w:cs="Times New Roman"/>
          <w:color w:val="000000" w:themeColor="text1"/>
        </w:rPr>
        <w:t>.</w:t>
      </w:r>
      <w:r w:rsidR="004B7C6D">
        <w:rPr>
          <w:rStyle w:val="FootnoteReference"/>
          <w:rFonts w:ascii="garamond" w:eastAsia="Times New Roman" w:hAnsi="garamond" w:cs="Times New Roman"/>
          <w:color w:val="000000" w:themeColor="text1"/>
        </w:rPr>
        <w:footnoteReference w:id="29"/>
      </w:r>
      <w:r w:rsidR="004B7C6D" w:rsidRPr="00724A07">
        <w:rPr>
          <w:rFonts w:ascii="garamond" w:eastAsia="Times New Roman" w:hAnsi="garamond" w:cs="Times New Roman"/>
          <w:color w:val="000000" w:themeColor="text1"/>
        </w:rPr>
        <w:t xml:space="preserve"> Thus, we tend to act in accordance with the possibilities presented to us by our environment (and our schemes of interpretation of that environment</w:t>
      </w:r>
      <w:r w:rsidR="004B7C6D">
        <w:rPr>
          <w:rFonts w:ascii="garamond" w:eastAsia="Times New Roman" w:hAnsi="garamond" w:cs="Times New Roman"/>
          <w:color w:val="000000" w:themeColor="text1"/>
        </w:rPr>
        <w:t xml:space="preserve"> provided by </w:t>
      </w:r>
      <w:r w:rsidR="004B7C6D" w:rsidRPr="00724A07">
        <w:rPr>
          <w:rFonts w:ascii="garamond" w:eastAsia="Times New Roman" w:hAnsi="garamond" w:cs="Times New Roman"/>
          <w:color w:val="000000" w:themeColor="text1"/>
        </w:rPr>
        <w:t xml:space="preserve">our habitus). </w:t>
      </w:r>
      <w:r w:rsidR="004B7C6D">
        <w:rPr>
          <w:rFonts w:ascii="garamond" w:eastAsia="Times New Roman" w:hAnsi="garamond" w:cs="Times New Roman"/>
          <w:color w:val="000000" w:themeColor="text1"/>
        </w:rPr>
        <w:t>As Bourdieu explains, “t</w:t>
      </w:r>
      <w:r w:rsidR="004B7C6D" w:rsidRPr="00724A07">
        <w:rPr>
          <w:rFonts w:ascii="garamond" w:eastAsia="Times New Roman" w:hAnsi="garamond" w:cs="Times New Roman"/>
          <w:color w:val="000000" w:themeColor="text1"/>
        </w:rPr>
        <w:t>he most improbabl</w:t>
      </w:r>
      <w:r w:rsidR="004B7C6D">
        <w:rPr>
          <w:rFonts w:ascii="garamond" w:eastAsia="Times New Roman" w:hAnsi="garamond" w:cs="Times New Roman"/>
          <w:color w:val="000000" w:themeColor="text1"/>
        </w:rPr>
        <w:t>e</w:t>
      </w:r>
      <w:r w:rsidR="004B7C6D" w:rsidRPr="00724A07">
        <w:rPr>
          <w:rFonts w:ascii="garamond" w:eastAsia="Times New Roman" w:hAnsi="garamond" w:cs="Times New Roman"/>
          <w:color w:val="000000" w:themeColor="text1"/>
        </w:rPr>
        <w:t xml:space="preserve"> practices are therefore excluded, as unthinkable, by a kind of immediate submission to order that inclines agents to make a virtue of necessity, that is, to refuse what is anyway denied and to will the inevitable</w:t>
      </w:r>
      <w:r w:rsidR="004B7C6D">
        <w:rPr>
          <w:rFonts w:ascii="garamond" w:eastAsia="Times New Roman" w:hAnsi="garamond" w:cs="Times New Roman"/>
          <w:color w:val="000000" w:themeColor="text1"/>
        </w:rPr>
        <w:t>.</w:t>
      </w:r>
      <w:r w:rsidR="004B7C6D" w:rsidRPr="00724A07">
        <w:rPr>
          <w:rFonts w:ascii="garamond" w:eastAsia="Times New Roman" w:hAnsi="garamond" w:cs="Times New Roman"/>
          <w:color w:val="000000" w:themeColor="text1"/>
        </w:rPr>
        <w:t>”</w:t>
      </w:r>
      <w:r w:rsidR="004B7C6D">
        <w:rPr>
          <w:rStyle w:val="FootnoteReference"/>
          <w:rFonts w:ascii="garamond" w:eastAsia="Times New Roman" w:hAnsi="garamond" w:cs="Times New Roman"/>
          <w:color w:val="000000" w:themeColor="text1"/>
        </w:rPr>
        <w:footnoteReference w:id="30"/>
      </w:r>
      <w:r w:rsidR="004B7C6D" w:rsidRPr="00724A07">
        <w:rPr>
          <w:rFonts w:ascii="garamond" w:eastAsia="Times New Roman" w:hAnsi="garamond" w:cs="Times New Roman"/>
          <w:color w:val="000000" w:themeColor="text1"/>
        </w:rPr>
        <w:t xml:space="preserve"> </w:t>
      </w:r>
    </w:p>
    <w:p w14:paraId="7D32CCA3" w14:textId="31A1F87E" w:rsidR="004B7C6D" w:rsidRDefault="004B7C6D" w:rsidP="0077203E">
      <w:pPr>
        <w:ind w:firstLine="720"/>
        <w:rPr>
          <w:rFonts w:ascii="garamond" w:eastAsia="Times New Roman" w:hAnsi="garamond" w:cs="Times New Roman"/>
          <w:color w:val="000000" w:themeColor="text1"/>
        </w:rPr>
      </w:pPr>
      <w:r w:rsidRPr="00724A07">
        <w:rPr>
          <w:rFonts w:ascii="garamond" w:eastAsia="Times New Roman" w:hAnsi="garamond" w:cs="Times New Roman"/>
          <w:color w:val="000000" w:themeColor="text1"/>
        </w:rPr>
        <w:t>Possibility is a molded thing, pushed into shape by our interpretations of our conditions—and their limits. “Only in imaginary experience (in the folk tale, for example</w:t>
      </w:r>
      <w:r>
        <w:rPr>
          <w:rFonts w:ascii="garamond" w:eastAsia="Times New Roman" w:hAnsi="garamond" w:cs="Times New Roman"/>
          <w:color w:val="000000" w:themeColor="text1"/>
        </w:rPr>
        <w:t>),” Bourdieu explains, “…</w:t>
      </w:r>
      <w:r w:rsidRPr="00724A07">
        <w:rPr>
          <w:rFonts w:ascii="garamond" w:eastAsia="Times New Roman" w:hAnsi="garamond" w:cs="Times New Roman"/>
          <w:color w:val="000000" w:themeColor="text1"/>
        </w:rPr>
        <w:t>does the social world take the form of a universe of possible equally possible for any possible subject. Agents shape their aspirations according to concrete indices of the accessible and the inaccessible, of what is and is not ‘for us’</w:t>
      </w:r>
      <w:r>
        <w:rPr>
          <w:rFonts w:ascii="garamond" w:eastAsia="Times New Roman" w:hAnsi="garamond" w:cs="Times New Roman"/>
          <w:color w:val="000000" w:themeColor="text1"/>
        </w:rPr>
        <w:t>.</w:t>
      </w:r>
      <w:r w:rsidRPr="00724A07">
        <w:rPr>
          <w:rFonts w:ascii="garamond" w:eastAsia="Times New Roman" w:hAnsi="garamond" w:cs="Times New Roman"/>
          <w:color w:val="000000" w:themeColor="text1"/>
        </w:rPr>
        <w:t>”</w:t>
      </w:r>
      <w:r>
        <w:rPr>
          <w:rStyle w:val="FootnoteReference"/>
          <w:rFonts w:ascii="garamond" w:eastAsia="Times New Roman" w:hAnsi="garamond" w:cs="Times New Roman"/>
          <w:color w:val="000000" w:themeColor="text1"/>
        </w:rPr>
        <w:footnoteReference w:id="31"/>
      </w:r>
      <w:r w:rsidRPr="00724A07">
        <w:rPr>
          <w:rFonts w:ascii="garamond" w:eastAsia="Times New Roman" w:hAnsi="garamond" w:cs="Times New Roman"/>
          <w:color w:val="000000" w:themeColor="text1"/>
        </w:rPr>
        <w:t xml:space="preserve"> </w:t>
      </w:r>
      <w:r>
        <w:rPr>
          <w:rFonts w:ascii="garamond" w:eastAsia="Times New Roman" w:hAnsi="garamond" w:cs="Times New Roman"/>
          <w:color w:val="000000" w:themeColor="text1"/>
        </w:rPr>
        <w:t xml:space="preserve">Bourdieu shows the entwined relationship between practice, environment, and our sense of the practical and possible. Thus, through changes in practices (like those in protest spaces), we can enforce changes in possibility. </w:t>
      </w:r>
      <w:r w:rsidR="009F607C">
        <w:rPr>
          <w:rFonts w:ascii="garamond" w:eastAsia="Times New Roman" w:hAnsi="garamond" w:cs="Times New Roman"/>
          <w:color w:val="000000" w:themeColor="text1"/>
        </w:rPr>
        <w:t>Prefigurative</w:t>
      </w:r>
      <w:r w:rsidRPr="00CA307C">
        <w:rPr>
          <w:rFonts w:ascii="garamond" w:eastAsia="Times New Roman" w:hAnsi="garamond" w:cs="Times New Roman"/>
          <w:color w:val="000000" w:themeColor="text1"/>
        </w:rPr>
        <w:t xml:space="preserve"> spaces, like those o</w:t>
      </w:r>
      <w:r w:rsidR="009F607C">
        <w:rPr>
          <w:rFonts w:ascii="garamond" w:eastAsia="Times New Roman" w:hAnsi="garamond" w:cs="Times New Roman"/>
          <w:color w:val="000000" w:themeColor="text1"/>
        </w:rPr>
        <w:t>ften created in</w:t>
      </w:r>
      <w:r w:rsidRPr="00CA307C">
        <w:rPr>
          <w:rFonts w:ascii="garamond" w:eastAsia="Times New Roman" w:hAnsi="garamond" w:cs="Times New Roman"/>
          <w:color w:val="000000" w:themeColor="text1"/>
        </w:rPr>
        <w:t xml:space="preserve"> protest occupations, conduct participants’ practices and attitudes through </w:t>
      </w:r>
      <w:r w:rsidR="009F607C">
        <w:rPr>
          <w:rFonts w:ascii="garamond" w:eastAsia="Times New Roman" w:hAnsi="garamond" w:cs="Times New Roman"/>
          <w:color w:val="000000" w:themeColor="text1"/>
        </w:rPr>
        <w:lastRenderedPageBreak/>
        <w:t xml:space="preserve">new </w:t>
      </w:r>
      <w:r w:rsidRPr="00CA307C">
        <w:rPr>
          <w:rFonts w:ascii="garamond" w:eastAsia="Times New Roman" w:hAnsi="garamond" w:cs="Times New Roman"/>
          <w:color w:val="000000" w:themeColor="text1"/>
        </w:rPr>
        <w:t xml:space="preserve">material, symbolic, and relational </w:t>
      </w:r>
      <w:r w:rsidR="009F607C">
        <w:rPr>
          <w:rFonts w:ascii="garamond" w:eastAsia="Times New Roman" w:hAnsi="garamond" w:cs="Times New Roman"/>
          <w:color w:val="000000" w:themeColor="text1"/>
        </w:rPr>
        <w:t>situations.</w:t>
      </w:r>
      <w:r w:rsidRPr="00CA307C">
        <w:rPr>
          <w:rFonts w:ascii="garamond" w:eastAsia="Times New Roman" w:hAnsi="garamond" w:cs="Times New Roman"/>
          <w:color w:val="000000" w:themeColor="text1"/>
        </w:rPr>
        <w:t xml:space="preserve"> Practice within these spaces produces new kinesthetic experiences, which offer embodied knowledge</w:t>
      </w:r>
      <w:r>
        <w:rPr>
          <w:rFonts w:ascii="garamond" w:eastAsia="Times New Roman" w:hAnsi="garamond" w:cs="Times New Roman"/>
          <w:color w:val="000000" w:themeColor="text1"/>
        </w:rPr>
        <w:t xml:space="preserve"> and in turn shapes our sense of what practices and social arrangements are possible.   </w:t>
      </w:r>
    </w:p>
    <w:p w14:paraId="0673280C" w14:textId="77777777" w:rsidR="00AC1D89" w:rsidRDefault="00AC1D89" w:rsidP="0077203E">
      <w:pPr>
        <w:ind w:firstLine="720"/>
        <w:rPr>
          <w:rFonts w:ascii="garamond" w:eastAsia="Times New Roman" w:hAnsi="garamond" w:cs="Times New Roman"/>
          <w:color w:val="000000" w:themeColor="text1"/>
        </w:rPr>
      </w:pPr>
    </w:p>
    <w:p w14:paraId="7C0E40BC" w14:textId="1847621F" w:rsidR="00424285" w:rsidRPr="00AC1D89" w:rsidRDefault="00AC1D89" w:rsidP="00424285">
      <w:pPr>
        <w:rPr>
          <w:rFonts w:ascii="garamond" w:hAnsi="garamond"/>
          <w:i/>
          <w:iCs/>
        </w:rPr>
      </w:pPr>
      <w:r>
        <w:rPr>
          <w:rFonts w:ascii="garamond" w:hAnsi="garamond"/>
          <w:i/>
          <w:iCs/>
        </w:rPr>
        <w:t>W</w:t>
      </w:r>
      <w:r w:rsidR="00C20B36" w:rsidRPr="00AC1D89">
        <w:rPr>
          <w:rFonts w:ascii="garamond" w:hAnsi="garamond"/>
          <w:i/>
          <w:iCs/>
        </w:rPr>
        <w:t>orldmaking</w:t>
      </w:r>
    </w:p>
    <w:p w14:paraId="07F19CE2" w14:textId="0226DAB1" w:rsidR="003A0CD7" w:rsidRDefault="00424285" w:rsidP="00E61854">
      <w:pPr>
        <w:ind w:firstLine="720"/>
        <w:rPr>
          <w:rFonts w:ascii="garamond" w:hAnsi="garamond"/>
        </w:rPr>
      </w:pPr>
      <w:r w:rsidRPr="00424285">
        <w:rPr>
          <w:rFonts w:ascii="garamond" w:hAnsi="garamond"/>
        </w:rPr>
        <w:t xml:space="preserve">Prefiguration and refiguration are what I call ‘worldmaking’ activities. </w:t>
      </w:r>
      <w:r w:rsidR="00E61854">
        <w:rPr>
          <w:rFonts w:ascii="garamond" w:hAnsi="garamond"/>
        </w:rPr>
        <w:t xml:space="preserve">The concept of worldmaking has gained prominence through work by Adom </w:t>
      </w:r>
      <w:r w:rsidR="00E61854" w:rsidRPr="00E61854">
        <w:rPr>
          <w:rFonts w:ascii="garamond" w:hAnsi="garamond"/>
        </w:rPr>
        <w:t>Getachew and Olúfẹ́mi</w:t>
      </w:r>
      <w:r w:rsidR="00E61854">
        <w:rPr>
          <w:rFonts w:ascii="garamond" w:hAnsi="garamond"/>
        </w:rPr>
        <w:t xml:space="preserve"> </w:t>
      </w:r>
      <w:r w:rsidR="00E61854" w:rsidRPr="00E61854">
        <w:rPr>
          <w:rFonts w:ascii="garamond" w:hAnsi="garamond"/>
        </w:rPr>
        <w:t>Táíwò</w:t>
      </w:r>
      <w:r w:rsidR="00E61854">
        <w:rPr>
          <w:rFonts w:ascii="garamond" w:hAnsi="garamond"/>
        </w:rPr>
        <w:t xml:space="preserve">’s; however, Getachew and </w:t>
      </w:r>
      <w:r w:rsidR="00E61854" w:rsidRPr="00E61854">
        <w:rPr>
          <w:rFonts w:ascii="garamond" w:hAnsi="garamond"/>
        </w:rPr>
        <w:t>Táíwò</w:t>
      </w:r>
      <w:r w:rsidR="00E61854">
        <w:rPr>
          <w:rFonts w:ascii="garamond" w:hAnsi="garamond"/>
        </w:rPr>
        <w:t xml:space="preserve"> use </w:t>
      </w:r>
      <w:r w:rsidR="00E61854" w:rsidRPr="00E61854">
        <w:rPr>
          <w:rFonts w:ascii="garamond" w:hAnsi="garamond"/>
        </w:rPr>
        <w:t xml:space="preserve">worldmaking </w:t>
      </w:r>
      <w:r w:rsidR="00E61854">
        <w:rPr>
          <w:rFonts w:ascii="garamond" w:hAnsi="garamond"/>
        </w:rPr>
        <w:t>to describe</w:t>
      </w:r>
      <w:r w:rsidR="00E61854" w:rsidRPr="00E61854">
        <w:rPr>
          <w:rFonts w:ascii="garamond" w:hAnsi="garamond"/>
        </w:rPr>
        <w:t xml:space="preserve"> the project of </w:t>
      </w:r>
      <w:r w:rsidR="00E61854">
        <w:rPr>
          <w:rFonts w:ascii="garamond" w:hAnsi="garamond"/>
        </w:rPr>
        <w:t xml:space="preserve">building and </w:t>
      </w:r>
      <w:r w:rsidR="00E61854" w:rsidRPr="00E61854">
        <w:rPr>
          <w:rFonts w:ascii="garamond" w:hAnsi="garamond"/>
        </w:rPr>
        <w:t>transforming world systems</w:t>
      </w:r>
      <w:r w:rsidR="00E61854">
        <w:rPr>
          <w:rFonts w:ascii="garamond" w:hAnsi="garamond"/>
        </w:rPr>
        <w:t>, such as imperial regimes and</w:t>
      </w:r>
      <w:r w:rsidR="00E61854" w:rsidRPr="00E61854">
        <w:rPr>
          <w:rFonts w:ascii="garamond" w:hAnsi="garamond"/>
        </w:rPr>
        <w:t xml:space="preserve"> global capitalism</w:t>
      </w:r>
      <w:r w:rsidR="00E61854">
        <w:rPr>
          <w:rFonts w:ascii="garamond" w:hAnsi="garamond"/>
        </w:rPr>
        <w:t>.</w:t>
      </w:r>
      <w:r w:rsidR="00AD236F">
        <w:rPr>
          <w:rStyle w:val="FootnoteReference"/>
          <w:rFonts w:ascii="garamond" w:hAnsi="garamond"/>
        </w:rPr>
        <w:footnoteReference w:id="32"/>
      </w:r>
      <w:r w:rsidR="00E61854">
        <w:rPr>
          <w:rFonts w:ascii="garamond" w:hAnsi="garamond"/>
        </w:rPr>
        <w:t xml:space="preserve"> I do not use worldmaking in this expansive register, instead following Amia Srinivasan’s use of the term to describe shifts in the frames we use to understand the world. </w:t>
      </w:r>
      <w:r>
        <w:rPr>
          <w:rFonts w:ascii="garamond" w:hAnsi="garamond"/>
        </w:rPr>
        <w:t>Amia Srinivasan</w:t>
      </w:r>
      <w:r w:rsidR="003A0CD7">
        <w:rPr>
          <w:rFonts w:ascii="garamond" w:hAnsi="garamond"/>
        </w:rPr>
        <w:t xml:space="preserve"> defines</w:t>
      </w:r>
      <w:r>
        <w:rPr>
          <w:rFonts w:ascii="garamond" w:hAnsi="garamond"/>
        </w:rPr>
        <w:t xml:space="preserve"> </w:t>
      </w:r>
      <w:r w:rsidR="00B13401">
        <w:rPr>
          <w:rFonts w:ascii="garamond" w:hAnsi="garamond"/>
        </w:rPr>
        <w:t>worldmaking as “</w:t>
      </w:r>
      <w:r w:rsidR="00B13401" w:rsidRPr="00B13401">
        <w:rPr>
          <w:rFonts w:ascii="garamond" w:hAnsi="garamond"/>
        </w:rPr>
        <w:t>the transformation of the world through a transformation of our representational practices.</w:t>
      </w:r>
      <w:r w:rsidR="00B13401">
        <w:rPr>
          <w:rFonts w:ascii="garamond" w:hAnsi="garamond"/>
        </w:rPr>
        <w:t>”</w:t>
      </w:r>
      <w:r w:rsidR="00BB0C6D">
        <w:rPr>
          <w:rStyle w:val="FootnoteReference"/>
          <w:rFonts w:ascii="garamond" w:hAnsi="garamond"/>
        </w:rPr>
        <w:footnoteReference w:id="33"/>
      </w:r>
      <w:r w:rsidR="003A0CD7">
        <w:rPr>
          <w:rFonts w:ascii="garamond" w:hAnsi="garamond"/>
        </w:rPr>
        <w:t xml:space="preserve"> In other words, the concepts and categories we use to represent the world compose the world as we engage with it; when we change </w:t>
      </w:r>
      <w:r w:rsidR="008C312F">
        <w:rPr>
          <w:rFonts w:ascii="garamond" w:hAnsi="garamond"/>
        </w:rPr>
        <w:t>the</w:t>
      </w:r>
      <w:r w:rsidR="003A0CD7">
        <w:rPr>
          <w:rFonts w:ascii="garamond" w:hAnsi="garamond"/>
        </w:rPr>
        <w:t xml:space="preserve"> frames we use to understand and engage with the world, the world itself changes. Srinivasan uses this definition of worldmaking to describe how critical genealogy functions as a radical worldmaking practice when it “</w:t>
      </w:r>
      <w:r w:rsidR="003A0CD7" w:rsidRPr="003A0CD7">
        <w:rPr>
          <w:rFonts w:ascii="garamond" w:hAnsi="garamond"/>
        </w:rPr>
        <w:t>diagnoses our representations in terms of the oppressive function they serve, but moreover shows us the role that agential powers—individuals, groups and institutions—have played in the emergence and continued dominance of those representations.</w:t>
      </w:r>
      <w:r w:rsidR="003A0CD7">
        <w:rPr>
          <w:rFonts w:ascii="garamond" w:hAnsi="garamond"/>
        </w:rPr>
        <w:t>”</w:t>
      </w:r>
      <w:r w:rsidR="003A0CD7">
        <w:rPr>
          <w:rStyle w:val="FootnoteReference"/>
          <w:rFonts w:ascii="garamond" w:hAnsi="garamond"/>
        </w:rPr>
        <w:footnoteReference w:id="34"/>
      </w:r>
      <w:r w:rsidR="003A0CD7">
        <w:rPr>
          <w:rFonts w:ascii="garamond" w:hAnsi="garamond"/>
        </w:rPr>
        <w:t xml:space="preserve"> Worldmaking, for Srinivasan, involves denaturalizing the frames we use to interpret the world, and </w:t>
      </w:r>
      <w:r w:rsidR="00C03863">
        <w:rPr>
          <w:rFonts w:ascii="garamond" w:hAnsi="garamond"/>
        </w:rPr>
        <w:t>demystifying the motivated choices which produce and maintain dominant frames. She goes on to argue that worldmaking also involves putting forward alternative representations—different models for viewing the world</w:t>
      </w:r>
      <w:r w:rsidR="008C312F">
        <w:rPr>
          <w:rFonts w:ascii="garamond" w:hAnsi="garamond"/>
        </w:rPr>
        <w:t>, and thus making room for structural change</w:t>
      </w:r>
      <w:r w:rsidR="00C03863">
        <w:rPr>
          <w:rFonts w:ascii="garamond" w:hAnsi="garamond"/>
        </w:rPr>
        <w:t xml:space="preserve">. </w:t>
      </w:r>
    </w:p>
    <w:p w14:paraId="18C65F2D" w14:textId="1E03A142" w:rsidR="00841439" w:rsidRPr="00B70DF4" w:rsidRDefault="000952C3" w:rsidP="00C46FBA">
      <w:pPr>
        <w:ind w:firstLine="720"/>
        <w:rPr>
          <w:rFonts w:ascii="garamond" w:eastAsia="Times New Roman" w:hAnsi="garamond" w:cs="Times New Roman"/>
          <w:color w:val="000000" w:themeColor="text1"/>
        </w:rPr>
      </w:pPr>
      <w:r>
        <w:rPr>
          <w:rFonts w:ascii="garamond" w:hAnsi="garamond"/>
        </w:rPr>
        <w:t xml:space="preserve">Deva </w:t>
      </w:r>
      <w:r w:rsidR="00841439">
        <w:rPr>
          <w:rFonts w:ascii="garamond" w:eastAsia="Times New Roman" w:hAnsi="garamond" w:cs="Times New Roman"/>
          <w:color w:val="000000" w:themeColor="text1"/>
        </w:rPr>
        <w:t>Woodly</w:t>
      </w:r>
      <w:r>
        <w:rPr>
          <w:rFonts w:ascii="garamond" w:eastAsia="Times New Roman" w:hAnsi="garamond" w:cs="Times New Roman"/>
          <w:color w:val="000000" w:themeColor="text1"/>
        </w:rPr>
        <w:t xml:space="preserve">’s work on public discourse </w:t>
      </w:r>
      <w:r w:rsidR="00841439">
        <w:rPr>
          <w:rFonts w:ascii="garamond" w:eastAsia="Times New Roman" w:hAnsi="garamond" w:cs="Times New Roman"/>
          <w:color w:val="000000" w:themeColor="text1"/>
        </w:rPr>
        <w:t>similarly</w:t>
      </w:r>
      <w:r>
        <w:rPr>
          <w:rFonts w:ascii="garamond" w:eastAsia="Times New Roman" w:hAnsi="garamond" w:cs="Times New Roman"/>
          <w:color w:val="000000" w:themeColor="text1"/>
        </w:rPr>
        <w:t xml:space="preserve"> </w:t>
      </w:r>
      <w:r w:rsidR="00841439">
        <w:rPr>
          <w:rFonts w:ascii="garamond" w:eastAsia="Times New Roman" w:hAnsi="garamond" w:cs="Times New Roman"/>
          <w:color w:val="000000" w:themeColor="text1"/>
        </w:rPr>
        <w:t xml:space="preserve">emphasizes the role </w:t>
      </w:r>
      <w:r w:rsidR="000E7793">
        <w:rPr>
          <w:rFonts w:ascii="garamond" w:eastAsia="Times New Roman" w:hAnsi="garamond" w:cs="Times New Roman"/>
          <w:color w:val="000000" w:themeColor="text1"/>
        </w:rPr>
        <w:t>which</w:t>
      </w:r>
      <w:r w:rsidR="00841439">
        <w:rPr>
          <w:rFonts w:ascii="garamond" w:eastAsia="Times New Roman" w:hAnsi="garamond" w:cs="Times New Roman"/>
          <w:color w:val="000000" w:themeColor="text1"/>
        </w:rPr>
        <w:t xml:space="preserve"> </w:t>
      </w:r>
      <w:r w:rsidR="00ED70F3">
        <w:rPr>
          <w:rFonts w:ascii="garamond" w:eastAsia="Times New Roman" w:hAnsi="garamond" w:cs="Times New Roman"/>
          <w:color w:val="000000" w:themeColor="text1"/>
        </w:rPr>
        <w:t xml:space="preserve">discursive frames </w:t>
      </w:r>
      <w:r w:rsidR="00841439">
        <w:rPr>
          <w:rFonts w:ascii="garamond" w:eastAsia="Times New Roman" w:hAnsi="garamond" w:cs="Times New Roman"/>
          <w:color w:val="000000" w:themeColor="text1"/>
        </w:rPr>
        <w:t xml:space="preserve">play in informing our understanding of the </w:t>
      </w:r>
      <w:r w:rsidR="008C312F">
        <w:rPr>
          <w:rFonts w:ascii="garamond" w:eastAsia="Times New Roman" w:hAnsi="garamond" w:cs="Times New Roman"/>
          <w:color w:val="000000" w:themeColor="text1"/>
        </w:rPr>
        <w:t>political world</w:t>
      </w:r>
      <w:r w:rsidR="00841439">
        <w:rPr>
          <w:rFonts w:ascii="garamond" w:eastAsia="Times New Roman" w:hAnsi="garamond" w:cs="Times New Roman"/>
          <w:color w:val="000000" w:themeColor="text1"/>
        </w:rPr>
        <w:t xml:space="preserve">. </w:t>
      </w:r>
      <w:r>
        <w:rPr>
          <w:rFonts w:ascii="garamond" w:eastAsia="Times New Roman" w:hAnsi="garamond" w:cs="Times New Roman"/>
          <w:color w:val="000000" w:themeColor="text1"/>
        </w:rPr>
        <w:t xml:space="preserve">While Srinivasan focuses on critical genealogy and critical theory more broadly as a source of transformations of representational practices, Woodly considers public discourse more broadly as the arena in which shifting representational practices shape the political landscape. </w:t>
      </w:r>
      <w:r w:rsidR="00841439" w:rsidRPr="00AA4D2C">
        <w:rPr>
          <w:rFonts w:ascii="garamond" w:eastAsia="Times New Roman" w:hAnsi="garamond" w:cs="Times New Roman"/>
          <w:color w:val="000000" w:themeColor="text1"/>
        </w:rPr>
        <w:t xml:space="preserve">“This power of public speech to create political understandings is critical because what we think of as political is both contingent and constrained by common-sense notions that develop out of the interactions among our background conceptions of the way the world is—what Aristotle called </w:t>
      </w:r>
      <w:r w:rsidR="00841439" w:rsidRPr="008E7E88">
        <w:rPr>
          <w:rFonts w:ascii="garamond" w:eastAsia="Times New Roman" w:hAnsi="garamond" w:cs="Times New Roman"/>
          <w:i/>
          <w:iCs/>
          <w:color w:val="000000" w:themeColor="text1"/>
        </w:rPr>
        <w:t>endoxa</w:t>
      </w:r>
      <w:r w:rsidR="00841439" w:rsidRPr="00AA4D2C">
        <w:rPr>
          <w:rFonts w:ascii="garamond" w:eastAsia="Times New Roman" w:hAnsi="garamond" w:cs="Times New Roman"/>
          <w:color w:val="000000" w:themeColor="text1"/>
        </w:rPr>
        <w:t>—with new ideas, practices, and laws</w:t>
      </w:r>
      <w:r>
        <w:rPr>
          <w:rFonts w:ascii="garamond" w:eastAsia="Times New Roman" w:hAnsi="garamond" w:cs="Times New Roman"/>
          <w:color w:val="000000" w:themeColor="text1"/>
        </w:rPr>
        <w:t>,” Woodly explains. “</w:t>
      </w:r>
      <w:r w:rsidR="00841439" w:rsidRPr="00AA4D2C">
        <w:rPr>
          <w:rFonts w:ascii="garamond" w:eastAsia="Times New Roman" w:hAnsi="garamond" w:cs="Times New Roman"/>
          <w:color w:val="000000" w:themeColor="text1"/>
        </w:rPr>
        <w:t>These interactions play out through public discursive processes that shape individuals’ interpretation of new political problems and solutions.”</w:t>
      </w:r>
      <w:r w:rsidR="00841439">
        <w:rPr>
          <w:rStyle w:val="FootnoteReference"/>
          <w:rFonts w:ascii="garamond" w:eastAsia="Times New Roman" w:hAnsi="garamond" w:cs="Times New Roman"/>
          <w:color w:val="000000" w:themeColor="text1"/>
        </w:rPr>
        <w:footnoteReference w:id="35"/>
      </w:r>
      <w:r w:rsidR="00841439">
        <w:rPr>
          <w:rFonts w:ascii="garamond" w:eastAsia="Times New Roman" w:hAnsi="garamond" w:cs="Times New Roman"/>
          <w:color w:val="000000" w:themeColor="text1"/>
        </w:rPr>
        <w:t xml:space="preserve"> </w:t>
      </w:r>
      <w:r>
        <w:rPr>
          <w:rFonts w:ascii="garamond" w:eastAsia="Times New Roman" w:hAnsi="garamond" w:cs="Times New Roman"/>
          <w:color w:val="000000" w:themeColor="text1"/>
        </w:rPr>
        <w:t>Woodly’s work emphasizes that our interpretation of the present also shapes our sense of political possibility</w:t>
      </w:r>
      <w:r w:rsidR="00E2503C">
        <w:rPr>
          <w:rFonts w:ascii="garamond" w:eastAsia="Times New Roman" w:hAnsi="garamond" w:cs="Times New Roman"/>
          <w:color w:val="000000" w:themeColor="text1"/>
        </w:rPr>
        <w:t>.</w:t>
      </w:r>
      <w:r w:rsidR="00E2503C">
        <w:rPr>
          <w:rStyle w:val="FootnoteReference"/>
          <w:rFonts w:ascii="garamond" w:eastAsia="Times New Roman" w:hAnsi="garamond" w:cs="Times New Roman"/>
          <w:color w:val="000000" w:themeColor="text1"/>
        </w:rPr>
        <w:footnoteReference w:id="36"/>
      </w:r>
    </w:p>
    <w:p w14:paraId="5A56393D" w14:textId="59EC8C15" w:rsidR="00840E3F" w:rsidRDefault="00841439" w:rsidP="00840E3F">
      <w:pPr>
        <w:ind w:firstLine="720"/>
        <w:rPr>
          <w:rFonts w:ascii="garamond" w:hAnsi="garamond"/>
          <w:color w:val="000000" w:themeColor="text1"/>
        </w:rPr>
      </w:pPr>
      <w:r w:rsidRPr="001C2338">
        <w:rPr>
          <w:rFonts w:ascii="garamond" w:eastAsia="Times New Roman" w:hAnsi="garamond" w:cs="Times New Roman"/>
          <w:color w:val="000000" w:themeColor="text1"/>
        </w:rPr>
        <w:t xml:space="preserve">This frame shift—changing </w:t>
      </w:r>
      <w:r w:rsidR="00C46FBA">
        <w:rPr>
          <w:rFonts w:ascii="garamond" w:eastAsia="Times New Roman" w:hAnsi="garamond" w:cs="Times New Roman"/>
          <w:color w:val="000000" w:themeColor="text1"/>
        </w:rPr>
        <w:t>how people interpret and evaluate their political</w:t>
      </w:r>
      <w:r w:rsidRPr="001C2338">
        <w:rPr>
          <w:rFonts w:ascii="garamond" w:eastAsia="Times New Roman" w:hAnsi="garamond" w:cs="Times New Roman"/>
          <w:color w:val="000000" w:themeColor="text1"/>
        </w:rPr>
        <w:t xml:space="preserve"> world—</w:t>
      </w:r>
      <w:r w:rsidR="00C46FBA">
        <w:rPr>
          <w:rFonts w:ascii="garamond" w:eastAsia="Times New Roman" w:hAnsi="garamond" w:cs="Times New Roman"/>
          <w:color w:val="000000" w:themeColor="text1"/>
        </w:rPr>
        <w:t>does not only rely</w:t>
      </w:r>
      <w:r w:rsidRPr="001C2338">
        <w:rPr>
          <w:rFonts w:ascii="garamond" w:eastAsia="Times New Roman" w:hAnsi="garamond" w:cs="Times New Roman"/>
          <w:color w:val="000000" w:themeColor="text1"/>
        </w:rPr>
        <w:t xml:space="preserve"> on the mechanism of disruption. </w:t>
      </w:r>
      <w:r w:rsidR="00840E3F">
        <w:rPr>
          <w:rFonts w:ascii="garamond" w:hAnsi="garamond"/>
        </w:rPr>
        <w:t xml:space="preserve">Immersion in these radical spaces does not have to persuade participants to be successful (and indeed, most participants are already convinced of the protest’s position and the priority of the issue at hand). Instead, the protest spaces aim to shift our interpretation of the political landscape without explicit political persuasion. While traditionally </w:t>
      </w:r>
      <w:r w:rsidR="00840E3F">
        <w:rPr>
          <w:rFonts w:ascii="garamond" w:hAnsi="garamond"/>
        </w:rPr>
        <w:lastRenderedPageBreak/>
        <w:t xml:space="preserve">protests have been understood to effect political change through public persuasion, recent work has shown how social movements reframe issues and shift discourse to effect change—even if they fail to explicitly persuade people. </w:t>
      </w:r>
      <w:r w:rsidR="00840E3F" w:rsidRPr="001C2338">
        <w:rPr>
          <w:rFonts w:ascii="garamond" w:hAnsi="garamond"/>
          <w:color w:val="000000" w:themeColor="text1"/>
        </w:rPr>
        <w:t xml:space="preserve">Recent developments in political theory literature have </w:t>
      </w:r>
      <w:r w:rsidR="00840E3F">
        <w:rPr>
          <w:rFonts w:ascii="garamond" w:hAnsi="garamond"/>
          <w:color w:val="000000" w:themeColor="text1"/>
        </w:rPr>
        <w:t xml:space="preserve">further </w:t>
      </w:r>
      <w:r w:rsidR="00840E3F" w:rsidRPr="001C2338">
        <w:rPr>
          <w:rFonts w:ascii="garamond" w:hAnsi="garamond"/>
          <w:color w:val="000000" w:themeColor="text1"/>
        </w:rPr>
        <w:t>expanded our understanding of how protests can m</w:t>
      </w:r>
      <w:r w:rsidR="00840E3F">
        <w:rPr>
          <w:rFonts w:ascii="garamond" w:hAnsi="garamond"/>
          <w:color w:val="000000" w:themeColor="text1"/>
        </w:rPr>
        <w:t>ake political change by altering how we frame issues and whether we see them as morally demanding</w:t>
      </w:r>
      <w:r w:rsidR="00840E3F" w:rsidRPr="001C2338">
        <w:rPr>
          <w:rFonts w:ascii="garamond" w:hAnsi="garamond"/>
          <w:color w:val="000000" w:themeColor="text1"/>
        </w:rPr>
        <w:t>. Clarissa Hayward has argued that disruption created through protest does not need to result in increased public support for a cause to be effective</w:t>
      </w:r>
      <w:r w:rsidR="00840E3F">
        <w:rPr>
          <w:rFonts w:ascii="garamond" w:hAnsi="garamond"/>
          <w:color w:val="000000" w:themeColor="text1"/>
        </w:rPr>
        <w:t xml:space="preserve">; instead, protests often </w:t>
      </w:r>
      <w:r w:rsidR="00840E3F" w:rsidRPr="001C2338">
        <w:rPr>
          <w:rFonts w:ascii="garamond" w:hAnsi="garamond"/>
          <w:color w:val="000000" w:themeColor="text1"/>
        </w:rPr>
        <w:t>disrupt motivated ignorance</w:t>
      </w:r>
      <w:r w:rsidR="00840E3F">
        <w:rPr>
          <w:rFonts w:ascii="garamond" w:hAnsi="garamond"/>
          <w:color w:val="000000" w:themeColor="text1"/>
        </w:rPr>
        <w:t xml:space="preserve"> of privileged parties, and can thereby </w:t>
      </w:r>
      <w:r w:rsidR="00840E3F" w:rsidRPr="001C2338">
        <w:rPr>
          <w:rFonts w:ascii="garamond" w:hAnsi="garamond"/>
          <w:color w:val="000000" w:themeColor="text1"/>
        </w:rPr>
        <w:t xml:space="preserve">shift </w:t>
      </w:r>
      <w:r w:rsidR="00840E3F">
        <w:rPr>
          <w:rFonts w:ascii="garamond" w:hAnsi="garamond"/>
          <w:color w:val="000000" w:themeColor="text1"/>
        </w:rPr>
        <w:t xml:space="preserve">the </w:t>
      </w:r>
      <w:r w:rsidR="00840E3F" w:rsidRPr="001C2338">
        <w:rPr>
          <w:rFonts w:ascii="garamond" w:hAnsi="garamond"/>
          <w:color w:val="000000" w:themeColor="text1"/>
        </w:rPr>
        <w:t>political agenda</w:t>
      </w:r>
      <w:r w:rsidR="00840E3F">
        <w:rPr>
          <w:rFonts w:ascii="garamond" w:hAnsi="garamond"/>
          <w:color w:val="000000" w:themeColor="text1"/>
        </w:rPr>
        <w:t>.</w:t>
      </w:r>
      <w:r w:rsidR="00840E3F">
        <w:rPr>
          <w:rStyle w:val="FootnoteReference"/>
          <w:rFonts w:ascii="garamond" w:hAnsi="garamond"/>
          <w:color w:val="000000" w:themeColor="text1"/>
        </w:rPr>
        <w:footnoteReference w:id="37"/>
      </w:r>
      <w:r w:rsidR="00840E3F">
        <w:rPr>
          <w:rFonts w:ascii="garamond" w:hAnsi="garamond"/>
          <w:color w:val="000000" w:themeColor="text1"/>
        </w:rPr>
        <w:t xml:space="preserve"> Ongoing work on framing processes shows how social movement organizations can use protests as a tactic of reframing conflict (leading to shifts in public opinion).</w:t>
      </w:r>
      <w:r w:rsidR="00840E3F">
        <w:rPr>
          <w:rStyle w:val="FootnoteReference"/>
          <w:rFonts w:ascii="garamond" w:hAnsi="garamond"/>
          <w:color w:val="000000" w:themeColor="text1"/>
        </w:rPr>
        <w:footnoteReference w:id="38"/>
      </w:r>
      <w:r w:rsidR="00840E3F">
        <w:rPr>
          <w:rFonts w:ascii="garamond" w:hAnsi="garamond"/>
          <w:color w:val="000000" w:themeColor="text1"/>
        </w:rPr>
        <w:t xml:space="preserve"> Deva </w:t>
      </w:r>
      <w:r w:rsidR="00840E3F" w:rsidRPr="006972E1">
        <w:rPr>
          <w:rFonts w:ascii="garamond" w:hAnsi="garamond"/>
          <w:color w:val="000000" w:themeColor="text1"/>
        </w:rPr>
        <w:t>Woodly</w:t>
      </w:r>
      <w:r w:rsidR="00840E3F">
        <w:rPr>
          <w:rFonts w:ascii="garamond" w:hAnsi="garamond"/>
          <w:color w:val="000000" w:themeColor="text1"/>
        </w:rPr>
        <w:t xml:space="preserve">’s work also </w:t>
      </w:r>
      <w:r w:rsidR="00840E3F" w:rsidRPr="006972E1">
        <w:rPr>
          <w:rFonts w:ascii="garamond" w:hAnsi="garamond"/>
          <w:color w:val="000000" w:themeColor="text1"/>
        </w:rPr>
        <w:t>counters the usual persuasion narrative (which assumes public opinion shifts in response to successful appeals which lead people to change their values) and instead argues that public support for an issue can be shaped by changing the terms of the debate used to evaluate the issue.</w:t>
      </w:r>
      <w:r w:rsidR="00840E3F">
        <w:rPr>
          <w:rStyle w:val="FootnoteReference"/>
          <w:rFonts w:ascii="garamond" w:hAnsi="garamond"/>
          <w:color w:val="000000" w:themeColor="text1"/>
        </w:rPr>
        <w:footnoteReference w:id="39"/>
      </w:r>
      <w:r w:rsidR="00840E3F" w:rsidRPr="006972E1">
        <w:rPr>
          <w:rFonts w:ascii="garamond" w:hAnsi="garamond"/>
          <w:color w:val="000000" w:themeColor="text1"/>
        </w:rPr>
        <w:t xml:space="preserve"> </w:t>
      </w:r>
    </w:p>
    <w:p w14:paraId="3EDEA27B" w14:textId="6718AB3F" w:rsidR="00841439" w:rsidRPr="00C46FBA" w:rsidRDefault="00C46FBA" w:rsidP="00C46FBA">
      <w:pPr>
        <w:ind w:firstLine="720"/>
        <w:rPr>
          <w:rFonts w:ascii="garamond" w:eastAsia="Times New Roman" w:hAnsi="garamond" w:cs="Times New Roman"/>
          <w:color w:val="000000" w:themeColor="text1"/>
        </w:rPr>
      </w:pPr>
      <w:r>
        <w:rPr>
          <w:rFonts w:ascii="garamond" w:eastAsia="Times New Roman" w:hAnsi="garamond" w:cs="Times New Roman"/>
          <w:color w:val="000000" w:themeColor="text1"/>
        </w:rPr>
        <w:t xml:space="preserve">Both </w:t>
      </w:r>
      <w:r w:rsidR="000E7793">
        <w:rPr>
          <w:rFonts w:ascii="garamond" w:eastAsia="Times New Roman" w:hAnsi="garamond" w:cs="Times New Roman"/>
          <w:color w:val="000000" w:themeColor="text1"/>
        </w:rPr>
        <w:t>Srinivasan</w:t>
      </w:r>
      <w:r>
        <w:rPr>
          <w:rFonts w:ascii="garamond" w:eastAsia="Times New Roman" w:hAnsi="garamond" w:cs="Times New Roman"/>
          <w:color w:val="000000" w:themeColor="text1"/>
        </w:rPr>
        <w:t xml:space="preserve"> and Woodly attend to how discourse, constituted through theoretical writing and public speech, is one crucial way through which our understanding of ‘the world as </w:t>
      </w:r>
      <w:proofErr w:type="gramStart"/>
      <w:r>
        <w:rPr>
          <w:rFonts w:ascii="garamond" w:eastAsia="Times New Roman" w:hAnsi="garamond" w:cs="Times New Roman"/>
          <w:color w:val="000000" w:themeColor="text1"/>
        </w:rPr>
        <w:t>it</w:t>
      </w:r>
      <w:proofErr w:type="gramEnd"/>
      <w:r>
        <w:rPr>
          <w:rFonts w:ascii="garamond" w:eastAsia="Times New Roman" w:hAnsi="garamond" w:cs="Times New Roman"/>
          <w:color w:val="000000" w:themeColor="text1"/>
        </w:rPr>
        <w:t xml:space="preserve"> is’ is constructed: through the language we use to describe it. However, ‘the world as it is’ is also material.</w:t>
      </w:r>
      <w:r>
        <w:rPr>
          <w:rFonts w:ascii="garamond" w:eastAsia="Times New Roman" w:hAnsi="garamond" w:cs="Times New Roman"/>
          <w:color w:val="000000" w:themeColor="text1"/>
        </w:rPr>
        <w:t xml:space="preserve"> </w:t>
      </w:r>
      <w:r w:rsidR="00AE4717">
        <w:rPr>
          <w:rFonts w:ascii="garamond" w:hAnsi="garamond"/>
          <w:color w:val="000000" w:themeColor="text1"/>
        </w:rPr>
        <w:t xml:space="preserve">While </w:t>
      </w:r>
      <w:r w:rsidR="00AE4717">
        <w:rPr>
          <w:rFonts w:ascii="garamond" w:hAnsi="garamond"/>
        </w:rPr>
        <w:t>t</w:t>
      </w:r>
      <w:r w:rsidR="00AE4717" w:rsidRPr="005542B5">
        <w:rPr>
          <w:rFonts w:ascii="garamond" w:hAnsi="garamond"/>
        </w:rPr>
        <w:t>h</w:t>
      </w:r>
      <w:r w:rsidR="00AE4717">
        <w:rPr>
          <w:rFonts w:ascii="garamond" w:hAnsi="garamond"/>
        </w:rPr>
        <w:t>e existing work tends to focus on public discourse, media, and individual confrontation as the arenas in which political frames are disrupted, we should also understand experience in urban space as a further arena in which political frames are molded and shifted.</w:t>
      </w:r>
      <w:r w:rsidR="00AE4717">
        <w:rPr>
          <w:rStyle w:val="FootnoteReference"/>
          <w:rFonts w:ascii="garamond" w:hAnsi="garamond"/>
        </w:rPr>
        <w:footnoteReference w:id="40"/>
      </w:r>
      <w:r w:rsidR="00AE4717">
        <w:rPr>
          <w:rFonts w:ascii="garamond" w:hAnsi="garamond"/>
        </w:rPr>
        <w:t xml:space="preserve"> </w:t>
      </w:r>
      <w:r w:rsidRPr="00EE6561">
        <w:rPr>
          <w:rFonts w:ascii="garamond" w:hAnsi="garamond"/>
        </w:rPr>
        <w:t>For example, the Healing Village’s integration of ad hoc community services (under canopies and a wood hut) within an open atmosphere of celebration and community gathering (under string lights and around garden plots) guided participants to move easily between accessing service</w:t>
      </w:r>
      <w:r>
        <w:rPr>
          <w:rFonts w:ascii="garamond" w:hAnsi="garamond"/>
        </w:rPr>
        <w:t>s</w:t>
      </w:r>
      <w:r w:rsidRPr="00EE6561">
        <w:rPr>
          <w:rFonts w:ascii="garamond" w:hAnsi="garamond"/>
        </w:rPr>
        <w:t xml:space="preserve"> and chatting with neighbors. This enactment showed that essential services </w:t>
      </w:r>
      <w:r w:rsidRPr="00EE6561">
        <w:rPr>
          <w:rFonts w:ascii="garamond" w:hAnsi="garamond"/>
          <w:i/>
          <w:iCs/>
        </w:rPr>
        <w:t>could</w:t>
      </w:r>
      <w:r w:rsidRPr="00EE6561">
        <w:rPr>
          <w:rFonts w:ascii="garamond" w:hAnsi="garamond"/>
        </w:rPr>
        <w:t xml:space="preserve"> be integrated within communities—a huge political claim on Chicago’s resource-starved South Side. When we move through spaces in new ways, our ways of being in the world shift; when our ways of being in the world shifts, so do our frames for understanding the </w:t>
      </w:r>
      <w:r w:rsidR="00AE4717">
        <w:rPr>
          <w:rFonts w:ascii="garamond" w:hAnsi="garamond"/>
        </w:rPr>
        <w:t>present</w:t>
      </w:r>
      <w:r w:rsidRPr="00EE6561">
        <w:rPr>
          <w:rFonts w:ascii="garamond" w:hAnsi="garamond"/>
        </w:rPr>
        <w:t xml:space="preserve"> and the possible. </w:t>
      </w:r>
      <w:r>
        <w:rPr>
          <w:rFonts w:ascii="garamond" w:hAnsi="garamond"/>
          <w:color w:val="000000" w:themeColor="text1"/>
        </w:rPr>
        <w:t xml:space="preserve">Imagination of alternative political arrangements is made more visceral and immediate when we make and inhabit spaces; space-making allows us to </w:t>
      </w:r>
      <w:r>
        <w:rPr>
          <w:rFonts w:ascii="garamond" w:hAnsi="garamond"/>
          <w:i/>
          <w:iCs/>
          <w:color w:val="000000" w:themeColor="text1"/>
        </w:rPr>
        <w:t>make</w:t>
      </w:r>
      <w:r>
        <w:rPr>
          <w:rFonts w:ascii="garamond" w:hAnsi="garamond"/>
          <w:color w:val="000000" w:themeColor="text1"/>
        </w:rPr>
        <w:t xml:space="preserve"> believe.</w:t>
      </w:r>
      <w:r>
        <w:rPr>
          <w:rStyle w:val="FootnoteReference"/>
          <w:rFonts w:ascii="garamond" w:hAnsi="garamond"/>
          <w:color w:val="000000" w:themeColor="text1"/>
        </w:rPr>
        <w:footnoteReference w:id="41"/>
      </w:r>
      <w:r>
        <w:rPr>
          <w:rFonts w:ascii="garamond" w:eastAsia="Times New Roman" w:hAnsi="garamond" w:cs="Times New Roman"/>
          <w:color w:val="000000" w:themeColor="text1"/>
        </w:rPr>
        <w:t xml:space="preserve"> </w:t>
      </w:r>
      <w:r w:rsidRPr="001C2338">
        <w:rPr>
          <w:rFonts w:ascii="garamond" w:hAnsi="garamond"/>
          <w:color w:val="000000" w:themeColor="text1"/>
        </w:rPr>
        <w:t>Radical progress</w:t>
      </w:r>
      <w:r w:rsidR="00AE4717">
        <w:rPr>
          <w:rFonts w:ascii="garamond" w:hAnsi="garamond"/>
          <w:color w:val="000000" w:themeColor="text1"/>
        </w:rPr>
        <w:t xml:space="preserve"> </w:t>
      </w:r>
      <w:r w:rsidRPr="001C2338">
        <w:rPr>
          <w:rFonts w:ascii="garamond" w:hAnsi="garamond"/>
          <w:color w:val="000000" w:themeColor="text1"/>
        </w:rPr>
        <w:t xml:space="preserve">can only occur by breaking through the limitations to imagination imposed by the present. As </w:t>
      </w:r>
      <w:r>
        <w:rPr>
          <w:rFonts w:ascii="garamond" w:hAnsi="garamond"/>
          <w:color w:val="000000" w:themeColor="text1"/>
        </w:rPr>
        <w:t xml:space="preserve">Mark Fisher </w:t>
      </w:r>
      <w:r w:rsidRPr="001C2338">
        <w:rPr>
          <w:rFonts w:ascii="garamond" w:hAnsi="garamond"/>
          <w:color w:val="000000" w:themeColor="text1"/>
        </w:rPr>
        <w:t>argues, “</w:t>
      </w:r>
      <w:r w:rsidRPr="006A54D2">
        <w:rPr>
          <w:rFonts w:ascii="garamond" w:hAnsi="garamond"/>
          <w:color w:val="000000" w:themeColor="text1"/>
        </w:rPr>
        <w:t>emancipatory politics must always</w:t>
      </w:r>
      <w:r>
        <w:rPr>
          <w:rFonts w:ascii="garamond" w:hAnsi="garamond"/>
          <w:color w:val="000000" w:themeColor="text1"/>
        </w:rPr>
        <w:t xml:space="preserve"> </w:t>
      </w:r>
      <w:r w:rsidRPr="006A54D2">
        <w:rPr>
          <w:rFonts w:ascii="garamond" w:hAnsi="garamond"/>
          <w:color w:val="000000" w:themeColor="text1"/>
        </w:rPr>
        <w:t>destroy the appearance of a 'natural order', must reveal what is</w:t>
      </w:r>
      <w:r>
        <w:rPr>
          <w:rFonts w:ascii="garamond" w:hAnsi="garamond"/>
          <w:color w:val="000000" w:themeColor="text1"/>
        </w:rPr>
        <w:t xml:space="preserve"> </w:t>
      </w:r>
      <w:r w:rsidRPr="006A54D2">
        <w:rPr>
          <w:rFonts w:ascii="garamond" w:hAnsi="garamond"/>
          <w:color w:val="000000" w:themeColor="text1"/>
        </w:rPr>
        <w:t>presented as necessary and inevitable to be a mere contingency,</w:t>
      </w:r>
      <w:r>
        <w:rPr>
          <w:rFonts w:ascii="garamond" w:hAnsi="garamond"/>
          <w:color w:val="000000" w:themeColor="text1"/>
        </w:rPr>
        <w:t xml:space="preserve"> </w:t>
      </w:r>
      <w:r w:rsidRPr="006A54D2">
        <w:rPr>
          <w:rFonts w:ascii="garamond" w:hAnsi="garamond"/>
          <w:color w:val="000000" w:themeColor="text1"/>
        </w:rPr>
        <w:t xml:space="preserve">just as it must make what was previously deemed to be impossible seem </w:t>
      </w:r>
      <w:r w:rsidRPr="006A54D2">
        <w:rPr>
          <w:rFonts w:ascii="garamond" w:hAnsi="garamond"/>
          <w:color w:val="000000" w:themeColor="text1"/>
        </w:rPr>
        <w:lastRenderedPageBreak/>
        <w:t>attainable.</w:t>
      </w:r>
      <w:r w:rsidRPr="001C2338">
        <w:rPr>
          <w:rFonts w:ascii="garamond" w:hAnsi="garamond"/>
          <w:color w:val="000000" w:themeColor="text1"/>
        </w:rPr>
        <w:t>”</w:t>
      </w:r>
      <w:r>
        <w:rPr>
          <w:rStyle w:val="FootnoteReference"/>
          <w:rFonts w:ascii="garamond" w:hAnsi="garamond"/>
          <w:color w:val="000000" w:themeColor="text1"/>
        </w:rPr>
        <w:footnoteReference w:id="42"/>
      </w:r>
      <w:r w:rsidRPr="001C2338">
        <w:rPr>
          <w:rFonts w:ascii="garamond" w:hAnsi="garamond"/>
          <w:color w:val="000000" w:themeColor="text1"/>
        </w:rPr>
        <w:t xml:space="preserve"> </w:t>
      </w:r>
      <w:r w:rsidR="00841439">
        <w:rPr>
          <w:rFonts w:ascii="garamond" w:hAnsi="garamond"/>
          <w:color w:val="000000" w:themeColor="text1"/>
        </w:rPr>
        <w:t xml:space="preserve">If we understand political imagination as not something that is concocted ex ante in our minds or produced through political speech alone, but is also educated in experience, we understand the importance of immersive, transgressive occupations which challenge the limitations of the political world and the built environment that serves </w:t>
      </w:r>
      <w:r w:rsidR="00AE4717">
        <w:rPr>
          <w:rFonts w:ascii="garamond" w:hAnsi="garamond"/>
          <w:color w:val="000000" w:themeColor="text1"/>
        </w:rPr>
        <w:t>and composes it</w:t>
      </w:r>
      <w:r w:rsidR="00841439">
        <w:rPr>
          <w:rFonts w:ascii="garamond" w:hAnsi="garamond"/>
          <w:color w:val="000000" w:themeColor="text1"/>
        </w:rPr>
        <w:t xml:space="preserve">. </w:t>
      </w:r>
    </w:p>
    <w:p w14:paraId="52A8212D" w14:textId="77777777" w:rsidR="00CE316E" w:rsidRDefault="00CE316E" w:rsidP="00CE316E">
      <w:pPr>
        <w:rPr>
          <w:rFonts w:ascii="garamond" w:hAnsi="garamond"/>
        </w:rPr>
      </w:pPr>
    </w:p>
    <w:p w14:paraId="0245FFE7" w14:textId="4636144D" w:rsidR="00CE316E" w:rsidRPr="00CE316E" w:rsidRDefault="00CE316E" w:rsidP="00CE316E">
      <w:pPr>
        <w:rPr>
          <w:rFonts w:ascii="garamond" w:hAnsi="garamond"/>
          <w:b/>
          <w:bCs/>
        </w:rPr>
      </w:pPr>
      <w:r w:rsidRPr="00CE316E">
        <w:rPr>
          <w:rFonts w:ascii="garamond" w:hAnsi="garamond"/>
          <w:b/>
          <w:bCs/>
        </w:rPr>
        <w:t>Case Studies</w:t>
      </w:r>
    </w:p>
    <w:p w14:paraId="28DA3DCC" w14:textId="77777777" w:rsidR="005C4580" w:rsidRDefault="005C4580" w:rsidP="005C4580">
      <w:pPr>
        <w:ind w:firstLine="720"/>
        <w:rPr>
          <w:rFonts w:ascii="garamond" w:hAnsi="garamond"/>
          <w:color w:val="000000" w:themeColor="text1"/>
        </w:rPr>
      </w:pPr>
      <w:r>
        <w:rPr>
          <w:rFonts w:ascii="garamond" w:hAnsi="garamond"/>
          <w:color w:val="000000" w:themeColor="text1"/>
        </w:rPr>
        <w:t xml:space="preserve">While protesters use space in a variety of ways, this paper focuses specifically on </w:t>
      </w:r>
      <w:r w:rsidRPr="001C2338">
        <w:rPr>
          <w:rFonts w:ascii="garamond" w:hAnsi="garamond"/>
          <w:color w:val="000000" w:themeColor="text1"/>
        </w:rPr>
        <w:t xml:space="preserve">occupation-based protest. I use the term ‘occupation-based protest’ to refer to forms of contentious politics that use occupation of a physical space to make a political point. These spaces can be private or public, well-used or abandoned. The distinctive </w:t>
      </w:r>
      <w:r>
        <w:rPr>
          <w:rFonts w:ascii="garamond" w:hAnsi="garamond"/>
          <w:color w:val="000000" w:themeColor="text1"/>
        </w:rPr>
        <w:t>feature</w:t>
      </w:r>
      <w:r w:rsidRPr="001C2338">
        <w:rPr>
          <w:rFonts w:ascii="garamond" w:hAnsi="garamond"/>
          <w:color w:val="000000" w:themeColor="text1"/>
        </w:rPr>
        <w:t xml:space="preserve"> of the</w:t>
      </w:r>
      <w:r>
        <w:rPr>
          <w:rFonts w:ascii="garamond" w:hAnsi="garamond"/>
          <w:color w:val="000000" w:themeColor="text1"/>
        </w:rPr>
        <w:t xml:space="preserve">se </w:t>
      </w:r>
      <w:r w:rsidRPr="001C2338">
        <w:rPr>
          <w:rFonts w:ascii="garamond" w:hAnsi="garamond"/>
          <w:color w:val="000000" w:themeColor="text1"/>
        </w:rPr>
        <w:t>protest</w:t>
      </w:r>
      <w:r>
        <w:rPr>
          <w:rFonts w:ascii="garamond" w:hAnsi="garamond"/>
          <w:color w:val="000000" w:themeColor="text1"/>
        </w:rPr>
        <w:t>s</w:t>
      </w:r>
      <w:r w:rsidRPr="001C2338">
        <w:rPr>
          <w:rFonts w:ascii="garamond" w:hAnsi="garamond"/>
          <w:color w:val="000000" w:themeColor="text1"/>
        </w:rPr>
        <w:t xml:space="preserve"> is inhabiting spaces which are not designed to accommodate occupation. In other words, the</w:t>
      </w:r>
      <w:r>
        <w:rPr>
          <w:rFonts w:ascii="garamond" w:hAnsi="garamond"/>
          <w:color w:val="000000" w:themeColor="text1"/>
        </w:rPr>
        <w:t xml:space="preserve"> protests that I am referring to</w:t>
      </w:r>
      <w:r w:rsidRPr="001C2338">
        <w:rPr>
          <w:rFonts w:ascii="garamond" w:hAnsi="garamond"/>
          <w:color w:val="000000" w:themeColor="text1"/>
        </w:rPr>
        <w:t xml:space="preserve"> do not </w:t>
      </w:r>
      <w:r>
        <w:rPr>
          <w:rFonts w:ascii="garamond" w:hAnsi="garamond"/>
          <w:color w:val="000000" w:themeColor="text1"/>
        </w:rPr>
        <w:t>involve</w:t>
      </w:r>
      <w:r w:rsidRPr="001C2338">
        <w:rPr>
          <w:rFonts w:ascii="garamond" w:hAnsi="garamond"/>
          <w:color w:val="000000" w:themeColor="text1"/>
        </w:rPr>
        <w:t xml:space="preserve"> </w:t>
      </w:r>
      <w:r>
        <w:rPr>
          <w:rFonts w:ascii="garamond" w:hAnsi="garamond"/>
          <w:color w:val="000000" w:themeColor="text1"/>
        </w:rPr>
        <w:t xml:space="preserve">a regularized </w:t>
      </w:r>
      <w:r w:rsidRPr="001C2338">
        <w:rPr>
          <w:rFonts w:ascii="garamond" w:hAnsi="garamond"/>
          <w:color w:val="000000" w:themeColor="text1"/>
        </w:rPr>
        <w:t>use</w:t>
      </w:r>
      <w:r>
        <w:rPr>
          <w:rFonts w:ascii="garamond" w:hAnsi="garamond"/>
          <w:color w:val="000000" w:themeColor="text1"/>
        </w:rPr>
        <w:t>s</w:t>
      </w:r>
      <w:r w:rsidRPr="001C2338">
        <w:rPr>
          <w:rFonts w:ascii="garamond" w:hAnsi="garamond"/>
          <w:color w:val="000000" w:themeColor="text1"/>
        </w:rPr>
        <w:t xml:space="preserve"> of space</w:t>
      </w:r>
      <w:r>
        <w:rPr>
          <w:rFonts w:ascii="garamond" w:hAnsi="garamond"/>
          <w:color w:val="000000" w:themeColor="text1"/>
        </w:rPr>
        <w:t xml:space="preserve"> (such as an organizations’ headquarters or a permitted protest in public space). </w:t>
      </w:r>
      <w:r w:rsidRPr="001C2338">
        <w:rPr>
          <w:rFonts w:ascii="garamond" w:hAnsi="garamond"/>
          <w:color w:val="000000" w:themeColor="text1"/>
        </w:rPr>
        <w:t xml:space="preserve">A second feature is that the (re)organization of space itself is an active part of protester goals. Although </w:t>
      </w:r>
      <w:r>
        <w:rPr>
          <w:rFonts w:ascii="garamond" w:hAnsi="garamond"/>
          <w:color w:val="000000" w:themeColor="text1"/>
        </w:rPr>
        <w:t xml:space="preserve">the features of protest occupations I discuss below are seen, to some extent, in </w:t>
      </w:r>
      <w:r w:rsidRPr="001C2338">
        <w:rPr>
          <w:rFonts w:ascii="garamond" w:hAnsi="garamond"/>
          <w:color w:val="000000" w:themeColor="text1"/>
        </w:rPr>
        <w:t xml:space="preserve">many </w:t>
      </w:r>
      <w:r>
        <w:rPr>
          <w:rFonts w:ascii="garamond" w:hAnsi="garamond"/>
          <w:color w:val="000000" w:themeColor="text1"/>
        </w:rPr>
        <w:t>other forms of</w:t>
      </w:r>
      <w:r w:rsidRPr="001C2338">
        <w:rPr>
          <w:rFonts w:ascii="garamond" w:hAnsi="garamond"/>
          <w:color w:val="000000" w:themeColor="text1"/>
        </w:rPr>
        <w:t xml:space="preserve"> </w:t>
      </w:r>
      <w:r>
        <w:rPr>
          <w:rFonts w:ascii="garamond" w:hAnsi="garamond"/>
          <w:color w:val="000000" w:themeColor="text1"/>
        </w:rPr>
        <w:t xml:space="preserve">in-person </w:t>
      </w:r>
      <w:r w:rsidRPr="001C2338">
        <w:rPr>
          <w:rFonts w:ascii="garamond" w:hAnsi="garamond"/>
          <w:color w:val="000000" w:themeColor="text1"/>
        </w:rPr>
        <w:t xml:space="preserve">protest, I have focused my analysis on </w:t>
      </w:r>
      <w:r>
        <w:rPr>
          <w:rFonts w:ascii="garamond" w:hAnsi="garamond"/>
          <w:color w:val="000000" w:themeColor="text1"/>
        </w:rPr>
        <w:t xml:space="preserve">occupations </w:t>
      </w:r>
      <w:r w:rsidRPr="001C2338">
        <w:rPr>
          <w:rFonts w:ascii="garamond" w:hAnsi="garamond"/>
          <w:color w:val="000000" w:themeColor="text1"/>
        </w:rPr>
        <w:t xml:space="preserve">for which </w:t>
      </w:r>
      <w:r>
        <w:rPr>
          <w:rFonts w:ascii="garamond" w:hAnsi="garamond"/>
          <w:color w:val="000000" w:themeColor="text1"/>
        </w:rPr>
        <w:t>(</w:t>
      </w:r>
      <w:r w:rsidRPr="001C2338">
        <w:rPr>
          <w:rFonts w:ascii="garamond" w:hAnsi="garamond"/>
          <w:color w:val="000000" w:themeColor="text1"/>
        </w:rPr>
        <w:t>re</w:t>
      </w:r>
      <w:r>
        <w:rPr>
          <w:rFonts w:ascii="garamond" w:hAnsi="garamond"/>
          <w:color w:val="000000" w:themeColor="text1"/>
        </w:rPr>
        <w:t>)</w:t>
      </w:r>
      <w:r w:rsidRPr="001C2338">
        <w:rPr>
          <w:rFonts w:ascii="garamond" w:hAnsi="garamond"/>
          <w:color w:val="000000" w:themeColor="text1"/>
        </w:rPr>
        <w:t>making space is an explicit and primary objective of the protest</w:t>
      </w:r>
      <w:r>
        <w:rPr>
          <w:rFonts w:ascii="garamond" w:hAnsi="garamond"/>
          <w:color w:val="000000" w:themeColor="text1"/>
        </w:rPr>
        <w:t>.</w:t>
      </w:r>
    </w:p>
    <w:p w14:paraId="18CFAD2E" w14:textId="0104D603" w:rsidR="005C4580" w:rsidRDefault="005C4580" w:rsidP="005C4580">
      <w:pPr>
        <w:ind w:firstLine="720"/>
        <w:rPr>
          <w:rFonts w:ascii="garamond" w:hAnsi="garamond"/>
          <w:color w:val="000000" w:themeColor="text1"/>
        </w:rPr>
      </w:pPr>
      <w:r w:rsidRPr="001C2338">
        <w:rPr>
          <w:rFonts w:ascii="garamond" w:hAnsi="garamond"/>
          <w:color w:val="000000" w:themeColor="text1"/>
        </w:rPr>
        <w:t>In selecting the protests, I focus on those which received limited media attention</w:t>
      </w:r>
      <w:r>
        <w:rPr>
          <w:rFonts w:ascii="garamond" w:hAnsi="garamond"/>
          <w:color w:val="000000" w:themeColor="text1"/>
        </w:rPr>
        <w:t xml:space="preserve"> </w:t>
      </w:r>
      <w:r w:rsidRPr="001C2338">
        <w:rPr>
          <w:rFonts w:ascii="garamond" w:hAnsi="garamond"/>
          <w:color w:val="000000" w:themeColor="text1"/>
        </w:rPr>
        <w:t xml:space="preserve">and did not mobilize large parts of the public. They did not shift the opinions </w:t>
      </w:r>
      <w:r>
        <w:rPr>
          <w:rFonts w:ascii="garamond" w:hAnsi="garamond"/>
          <w:color w:val="000000" w:themeColor="text1"/>
        </w:rPr>
        <w:t>of</w:t>
      </w:r>
      <w:r w:rsidRPr="001C2338">
        <w:rPr>
          <w:rFonts w:ascii="garamond" w:hAnsi="garamond"/>
          <w:color w:val="000000" w:themeColor="text1"/>
        </w:rPr>
        <w:t xml:space="preserve"> a broad democratic public</w:t>
      </w:r>
      <w:r>
        <w:rPr>
          <w:rFonts w:ascii="garamond" w:hAnsi="garamond"/>
          <w:color w:val="000000" w:themeColor="text1"/>
        </w:rPr>
        <w:t xml:space="preserve"> </w:t>
      </w:r>
      <w:r w:rsidRPr="001C2338">
        <w:rPr>
          <w:rFonts w:ascii="garamond" w:hAnsi="garamond"/>
          <w:color w:val="000000" w:themeColor="text1"/>
        </w:rPr>
        <w:t>an</w:t>
      </w:r>
      <w:r>
        <w:rPr>
          <w:rFonts w:ascii="garamond" w:hAnsi="garamond"/>
          <w:color w:val="000000" w:themeColor="text1"/>
        </w:rPr>
        <w:t>d</w:t>
      </w:r>
      <w:r w:rsidRPr="001C2338">
        <w:rPr>
          <w:rFonts w:ascii="garamond" w:hAnsi="garamond"/>
          <w:color w:val="000000" w:themeColor="text1"/>
        </w:rPr>
        <w:t xml:space="preserve"> had limited impact beyond their immediate neighborhood. Indeed, organizers made surprisingly few references to broader public opinion. Although they clearly articulated policies and systems that they sought to change, </w:t>
      </w:r>
      <w:r w:rsidR="000E7793" w:rsidRPr="001C2338">
        <w:rPr>
          <w:rFonts w:ascii="garamond" w:hAnsi="garamond"/>
          <w:color w:val="000000" w:themeColor="text1"/>
        </w:rPr>
        <w:t>they are</w:t>
      </w:r>
      <w:r w:rsidRPr="001C2338">
        <w:rPr>
          <w:rFonts w:ascii="garamond" w:hAnsi="garamond"/>
          <w:color w:val="000000" w:themeColor="text1"/>
        </w:rPr>
        <w:t xml:space="preserve"> also all focused on a more amorphous, ambitious goal: alternative world-making. Each specifically engages the built environment as a source of injustice as well as a mechanism for change. </w:t>
      </w:r>
      <w:r w:rsidRPr="00E16948">
        <w:rPr>
          <w:rFonts w:ascii="garamond" w:hAnsi="garamond"/>
          <w:color w:val="000000" w:themeColor="text1"/>
        </w:rPr>
        <w:t xml:space="preserve"> </w:t>
      </w:r>
      <w:r w:rsidRPr="001C2338">
        <w:rPr>
          <w:rFonts w:ascii="garamond" w:hAnsi="garamond"/>
          <w:color w:val="000000" w:themeColor="text1"/>
        </w:rPr>
        <w:t>I also selected protests which were held on empty lots.</w:t>
      </w:r>
      <w:r>
        <w:rPr>
          <w:rStyle w:val="FootnoteReference"/>
          <w:rFonts w:ascii="garamond" w:hAnsi="garamond"/>
          <w:color w:val="000000" w:themeColor="text1"/>
        </w:rPr>
        <w:footnoteReference w:id="43"/>
      </w:r>
      <w:r w:rsidRPr="001C2338">
        <w:rPr>
          <w:rFonts w:ascii="garamond" w:hAnsi="garamond"/>
          <w:color w:val="000000" w:themeColor="text1"/>
        </w:rPr>
        <w:t xml:space="preserve"> This allows me to focus on the constructive part of these protests, rather than the disruptive elements.</w:t>
      </w:r>
      <w:r w:rsidR="00F81217" w:rsidRPr="001C2338">
        <w:rPr>
          <w:rFonts w:ascii="garamond" w:hAnsi="garamond"/>
          <w:color w:val="000000" w:themeColor="text1"/>
        </w:rPr>
        <w:t xml:space="preserve"> </w:t>
      </w:r>
      <w:r w:rsidRPr="001C2338">
        <w:rPr>
          <w:rFonts w:ascii="garamond" w:hAnsi="garamond"/>
          <w:color w:val="000000" w:themeColor="text1"/>
        </w:rPr>
        <w:t xml:space="preserve">I have relied </w:t>
      </w:r>
      <w:r>
        <w:rPr>
          <w:rFonts w:ascii="garamond" w:hAnsi="garamond"/>
          <w:color w:val="000000" w:themeColor="text1"/>
        </w:rPr>
        <w:t xml:space="preserve">on </w:t>
      </w:r>
      <w:r w:rsidRPr="001C2338">
        <w:rPr>
          <w:rFonts w:ascii="garamond" w:hAnsi="garamond"/>
          <w:color w:val="000000" w:themeColor="text1"/>
        </w:rPr>
        <w:t>analysis of social media and news coverage of these protests</w:t>
      </w:r>
      <w:r>
        <w:rPr>
          <w:rFonts w:ascii="garamond" w:hAnsi="garamond"/>
          <w:color w:val="000000" w:themeColor="text1"/>
        </w:rPr>
        <w:t>, supplemented by interviews</w:t>
      </w:r>
      <w:r w:rsidRPr="001C2338">
        <w:rPr>
          <w:rFonts w:ascii="garamond" w:hAnsi="garamond"/>
          <w:color w:val="000000" w:themeColor="text1"/>
        </w:rPr>
        <w:t>. I have most</w:t>
      </w:r>
      <w:r>
        <w:rPr>
          <w:rFonts w:ascii="garamond" w:hAnsi="garamond"/>
          <w:color w:val="000000" w:themeColor="text1"/>
        </w:rPr>
        <w:t xml:space="preserve"> heavily relied on </w:t>
      </w:r>
      <w:r w:rsidRPr="001C2338">
        <w:rPr>
          <w:rFonts w:ascii="garamond" w:hAnsi="garamond"/>
          <w:color w:val="000000" w:themeColor="text1"/>
        </w:rPr>
        <w:t>the materials created and speech</w:t>
      </w:r>
      <w:r>
        <w:rPr>
          <w:rFonts w:ascii="garamond" w:hAnsi="garamond"/>
          <w:color w:val="000000" w:themeColor="text1"/>
        </w:rPr>
        <w:t>es</w:t>
      </w:r>
      <w:r w:rsidRPr="001C2338">
        <w:rPr>
          <w:rFonts w:ascii="garamond" w:hAnsi="garamond"/>
          <w:color w:val="000000" w:themeColor="text1"/>
        </w:rPr>
        <w:t xml:space="preserve"> given by organizers and participants themselves, but I have complemented this with critical analysis of the occupation spaces and activities. </w:t>
      </w:r>
    </w:p>
    <w:p w14:paraId="501FBBEF" w14:textId="3928F394" w:rsidR="00CE316E" w:rsidRDefault="00C96B82" w:rsidP="00CE316E">
      <w:pPr>
        <w:ind w:firstLine="720"/>
        <w:rPr>
          <w:rFonts w:ascii="garamond" w:hAnsi="garamond"/>
          <w:color w:val="000000" w:themeColor="text1"/>
        </w:rPr>
      </w:pPr>
      <w:r>
        <w:rPr>
          <w:rFonts w:ascii="garamond" w:hAnsi="garamond"/>
          <w:color w:val="000000" w:themeColor="text1"/>
        </w:rPr>
        <w:t>More f</w:t>
      </w:r>
      <w:r w:rsidR="00CE316E" w:rsidRPr="001C2338">
        <w:rPr>
          <w:rFonts w:ascii="garamond" w:hAnsi="garamond"/>
          <w:color w:val="000000" w:themeColor="text1"/>
        </w:rPr>
        <w:t xml:space="preserve">amiliar examples of occupation-based protest </w:t>
      </w:r>
      <w:r w:rsidR="00CE316E">
        <w:rPr>
          <w:rFonts w:ascii="garamond" w:hAnsi="garamond"/>
          <w:color w:val="000000" w:themeColor="text1"/>
        </w:rPr>
        <w:t>include</w:t>
      </w:r>
      <w:r w:rsidR="00CE316E" w:rsidRPr="001C2338">
        <w:rPr>
          <w:rFonts w:ascii="garamond" w:hAnsi="garamond"/>
          <w:color w:val="000000" w:themeColor="text1"/>
        </w:rPr>
        <w:t xml:space="preserve"> the eponymous Occupy movement of 2011-2012, and the autonomous community </w:t>
      </w:r>
      <w:r w:rsidR="00CE316E">
        <w:rPr>
          <w:rFonts w:ascii="garamond" w:hAnsi="garamond"/>
          <w:color w:val="000000" w:themeColor="text1"/>
        </w:rPr>
        <w:t xml:space="preserve">which called itself the </w:t>
      </w:r>
      <w:r w:rsidR="00CE316E" w:rsidRPr="001C2338">
        <w:rPr>
          <w:rFonts w:ascii="garamond" w:hAnsi="garamond"/>
          <w:color w:val="000000" w:themeColor="text1"/>
        </w:rPr>
        <w:t>Capit</w:t>
      </w:r>
      <w:r w:rsidR="00CE316E">
        <w:rPr>
          <w:rFonts w:ascii="garamond" w:hAnsi="garamond"/>
          <w:color w:val="000000" w:themeColor="text1"/>
        </w:rPr>
        <w:t>o</w:t>
      </w:r>
      <w:r w:rsidR="00CE316E" w:rsidRPr="001C2338">
        <w:rPr>
          <w:rFonts w:ascii="garamond" w:hAnsi="garamond"/>
          <w:color w:val="000000" w:themeColor="text1"/>
        </w:rPr>
        <w:t xml:space="preserve">l Hill Occupied Protest (CHOP) </w:t>
      </w:r>
      <w:r w:rsidR="00CE316E">
        <w:rPr>
          <w:rFonts w:ascii="garamond" w:hAnsi="garamond"/>
          <w:color w:val="000000" w:themeColor="text1"/>
        </w:rPr>
        <w:t>that took place in Seattle in</w:t>
      </w:r>
      <w:r w:rsidR="00CE316E" w:rsidRPr="001C2338">
        <w:rPr>
          <w:rFonts w:ascii="garamond" w:hAnsi="garamond"/>
          <w:color w:val="000000" w:themeColor="text1"/>
        </w:rPr>
        <w:t xml:space="preserve"> summer 2020. For both of the</w:t>
      </w:r>
      <w:r w:rsidR="00CE316E">
        <w:rPr>
          <w:rFonts w:ascii="garamond" w:hAnsi="garamond"/>
          <w:color w:val="000000" w:themeColor="text1"/>
        </w:rPr>
        <w:t>se</w:t>
      </w:r>
      <w:r w:rsidR="00CE316E" w:rsidRPr="001C2338">
        <w:rPr>
          <w:rFonts w:ascii="garamond" w:hAnsi="garamond"/>
          <w:color w:val="000000" w:themeColor="text1"/>
        </w:rPr>
        <w:t xml:space="preserve"> protests, sustained occupation of space </w:t>
      </w:r>
      <w:r w:rsidR="00CE316E">
        <w:rPr>
          <w:rFonts w:ascii="garamond" w:hAnsi="garamond"/>
          <w:color w:val="000000" w:themeColor="text1"/>
        </w:rPr>
        <w:t>enabled</w:t>
      </w:r>
      <w:r w:rsidR="00CE316E" w:rsidRPr="001C2338">
        <w:rPr>
          <w:rFonts w:ascii="garamond" w:hAnsi="garamond"/>
          <w:color w:val="000000" w:themeColor="text1"/>
        </w:rPr>
        <w:t xml:space="preserve"> experimental arrangements of people and resources. Although the protesters had demands about wealth redistribution and defunding the police, respectively, they sought to create these changes not only through disruption, but </w:t>
      </w:r>
      <w:r w:rsidR="00CE316E">
        <w:rPr>
          <w:rFonts w:ascii="garamond" w:hAnsi="garamond"/>
          <w:color w:val="000000" w:themeColor="text1"/>
        </w:rPr>
        <w:t>also through alternative community infrastructures that</w:t>
      </w:r>
      <w:r w:rsidR="00CE316E" w:rsidRPr="001C2338">
        <w:rPr>
          <w:rFonts w:ascii="garamond" w:hAnsi="garamond"/>
          <w:color w:val="000000" w:themeColor="text1"/>
        </w:rPr>
        <w:t xml:space="preserve"> they </w:t>
      </w:r>
      <w:r w:rsidR="00CE316E">
        <w:rPr>
          <w:rFonts w:ascii="garamond" w:hAnsi="garamond"/>
          <w:color w:val="000000" w:themeColor="text1"/>
        </w:rPr>
        <w:t>built</w:t>
      </w:r>
      <w:r w:rsidR="00CE316E" w:rsidRPr="001C2338">
        <w:rPr>
          <w:rFonts w:ascii="garamond" w:hAnsi="garamond"/>
          <w:color w:val="000000" w:themeColor="text1"/>
        </w:rPr>
        <w:t xml:space="preserve"> in </w:t>
      </w:r>
      <w:r w:rsidR="00CE316E">
        <w:rPr>
          <w:rFonts w:ascii="garamond" w:hAnsi="garamond"/>
          <w:color w:val="000000" w:themeColor="text1"/>
        </w:rPr>
        <w:t xml:space="preserve">New York’s </w:t>
      </w:r>
      <w:r w:rsidR="00CE316E" w:rsidRPr="001C2338">
        <w:rPr>
          <w:rFonts w:ascii="garamond" w:hAnsi="garamond"/>
          <w:color w:val="000000" w:themeColor="text1"/>
        </w:rPr>
        <w:t xml:space="preserve">Zuccotti Park and in </w:t>
      </w:r>
      <w:r w:rsidR="00CE316E">
        <w:rPr>
          <w:rFonts w:ascii="garamond" w:hAnsi="garamond"/>
          <w:color w:val="000000" w:themeColor="text1"/>
        </w:rPr>
        <w:t xml:space="preserve">Seattle’s </w:t>
      </w:r>
      <w:r w:rsidR="00CE316E" w:rsidRPr="001C2338">
        <w:rPr>
          <w:rFonts w:ascii="garamond" w:hAnsi="garamond"/>
          <w:color w:val="000000" w:themeColor="text1"/>
        </w:rPr>
        <w:t xml:space="preserve">Capitol Hill. Occupy experimented with anti-capitalist ways of living, and CHOP </w:t>
      </w:r>
      <w:r w:rsidR="00CE316E">
        <w:rPr>
          <w:rFonts w:ascii="garamond" w:hAnsi="garamond"/>
          <w:color w:val="000000" w:themeColor="text1"/>
        </w:rPr>
        <w:t>experimented with public safety provision without policing. T</w:t>
      </w:r>
      <w:r w:rsidR="00CE316E" w:rsidRPr="001C2338">
        <w:rPr>
          <w:rFonts w:ascii="garamond" w:hAnsi="garamond"/>
          <w:color w:val="000000" w:themeColor="text1"/>
        </w:rPr>
        <w:t xml:space="preserve">hese prefigurative spaces were </w:t>
      </w:r>
      <w:r w:rsidR="00CE316E">
        <w:rPr>
          <w:rFonts w:ascii="garamond" w:hAnsi="garamond"/>
          <w:color w:val="000000" w:themeColor="text1"/>
        </w:rPr>
        <w:t xml:space="preserve">porous and </w:t>
      </w:r>
      <w:r w:rsidR="00CE316E" w:rsidRPr="001C2338">
        <w:rPr>
          <w:rFonts w:ascii="garamond" w:hAnsi="garamond"/>
          <w:color w:val="000000" w:themeColor="text1"/>
        </w:rPr>
        <w:t>temporary (</w:t>
      </w:r>
      <w:r w:rsidR="00CE316E">
        <w:rPr>
          <w:rFonts w:ascii="garamond" w:hAnsi="garamond"/>
          <w:color w:val="000000" w:themeColor="text1"/>
        </w:rPr>
        <w:t xml:space="preserve">both </w:t>
      </w:r>
      <w:r w:rsidR="00CE316E" w:rsidRPr="001C2338">
        <w:rPr>
          <w:rFonts w:ascii="garamond" w:hAnsi="garamond"/>
          <w:color w:val="000000" w:themeColor="text1"/>
        </w:rPr>
        <w:t>CHOP</w:t>
      </w:r>
      <w:r w:rsidR="00CE316E">
        <w:rPr>
          <w:rFonts w:ascii="garamond" w:hAnsi="garamond"/>
          <w:color w:val="000000" w:themeColor="text1"/>
        </w:rPr>
        <w:t xml:space="preserve"> and Zuccotti Park encampments</w:t>
      </w:r>
      <w:r w:rsidR="00CE316E" w:rsidRPr="001C2338">
        <w:rPr>
          <w:rFonts w:ascii="garamond" w:hAnsi="garamond"/>
          <w:color w:val="000000" w:themeColor="text1"/>
        </w:rPr>
        <w:t xml:space="preserve"> w</w:t>
      </w:r>
      <w:r w:rsidR="00CE316E">
        <w:rPr>
          <w:rFonts w:ascii="garamond" w:hAnsi="garamond"/>
          <w:color w:val="000000" w:themeColor="text1"/>
        </w:rPr>
        <w:t>ere</w:t>
      </w:r>
      <w:r w:rsidR="00CE316E" w:rsidRPr="001C2338">
        <w:rPr>
          <w:rFonts w:ascii="garamond" w:hAnsi="garamond"/>
          <w:color w:val="000000" w:themeColor="text1"/>
        </w:rPr>
        <w:t xml:space="preserve"> ultimately dis</w:t>
      </w:r>
      <w:r w:rsidR="00CE316E">
        <w:rPr>
          <w:rFonts w:ascii="garamond" w:hAnsi="garamond"/>
          <w:color w:val="000000" w:themeColor="text1"/>
        </w:rPr>
        <w:t>persed</w:t>
      </w:r>
      <w:r w:rsidR="00CE316E" w:rsidRPr="001C2338">
        <w:rPr>
          <w:rFonts w:ascii="garamond" w:hAnsi="garamond"/>
          <w:color w:val="000000" w:themeColor="text1"/>
        </w:rPr>
        <w:t xml:space="preserve"> by the police</w:t>
      </w:r>
      <w:r w:rsidR="00CE316E">
        <w:rPr>
          <w:rFonts w:ascii="garamond" w:hAnsi="garamond"/>
          <w:color w:val="000000" w:themeColor="text1"/>
        </w:rPr>
        <w:t>).</w:t>
      </w:r>
      <w:r w:rsidR="00CE316E" w:rsidRPr="001C2338">
        <w:rPr>
          <w:rStyle w:val="FootnoteReference"/>
          <w:rFonts w:ascii="garamond" w:hAnsi="garamond"/>
          <w:color w:val="000000" w:themeColor="text1"/>
        </w:rPr>
        <w:footnoteReference w:id="44"/>
      </w:r>
      <w:r w:rsidR="00CE316E" w:rsidRPr="001C2338">
        <w:rPr>
          <w:rFonts w:ascii="garamond" w:hAnsi="garamond"/>
          <w:color w:val="000000" w:themeColor="text1"/>
        </w:rPr>
        <w:t xml:space="preserve"> Indeed, protest occupations often end with the tents dismantled and streets cleared, and the urban spaces returned to their previous appearance. </w:t>
      </w:r>
      <w:r w:rsidR="00985203">
        <w:rPr>
          <w:rFonts w:ascii="garamond" w:hAnsi="garamond"/>
          <w:color w:val="000000" w:themeColor="text1"/>
        </w:rPr>
        <w:t xml:space="preserve">However, </w:t>
      </w:r>
      <w:r w:rsidR="00C956A7">
        <w:rPr>
          <w:rFonts w:ascii="garamond" w:hAnsi="garamond"/>
          <w:color w:val="000000" w:themeColor="text1"/>
        </w:rPr>
        <w:t xml:space="preserve">as explored in the cases below, </w:t>
      </w:r>
      <w:r w:rsidR="00985203">
        <w:rPr>
          <w:rFonts w:ascii="garamond" w:hAnsi="garamond"/>
          <w:color w:val="000000" w:themeColor="text1"/>
        </w:rPr>
        <w:t xml:space="preserve">the occupation’s ephemerality makes them well-suited to utopian experimentation, as it provides intensive immersive </w:t>
      </w:r>
      <w:r w:rsidR="00985203">
        <w:rPr>
          <w:rFonts w:ascii="garamond" w:hAnsi="garamond"/>
          <w:color w:val="000000" w:themeColor="text1"/>
        </w:rPr>
        <w:lastRenderedPageBreak/>
        <w:t>experience</w:t>
      </w:r>
      <w:r w:rsidR="00C956A7">
        <w:rPr>
          <w:rFonts w:ascii="garamond" w:hAnsi="garamond"/>
          <w:color w:val="000000" w:themeColor="text1"/>
        </w:rPr>
        <w:t>s</w:t>
      </w:r>
      <w:r w:rsidR="00985203">
        <w:rPr>
          <w:rFonts w:ascii="garamond" w:hAnsi="garamond"/>
          <w:color w:val="000000" w:themeColor="text1"/>
        </w:rPr>
        <w:t xml:space="preserve"> for activists and </w:t>
      </w:r>
      <w:r w:rsidR="00C956A7">
        <w:rPr>
          <w:rFonts w:ascii="garamond" w:hAnsi="garamond"/>
          <w:color w:val="000000" w:themeColor="text1"/>
        </w:rPr>
        <w:t xml:space="preserve">casual </w:t>
      </w:r>
      <w:r w:rsidR="00985203">
        <w:rPr>
          <w:rFonts w:ascii="garamond" w:hAnsi="garamond"/>
          <w:color w:val="000000" w:themeColor="text1"/>
        </w:rPr>
        <w:t>participants</w:t>
      </w:r>
      <w:r w:rsidR="00C956A7">
        <w:rPr>
          <w:rFonts w:ascii="garamond" w:hAnsi="garamond"/>
          <w:color w:val="000000" w:themeColor="text1"/>
        </w:rPr>
        <w:t xml:space="preserve"> alike</w:t>
      </w:r>
      <w:r w:rsidR="00985203">
        <w:rPr>
          <w:rFonts w:ascii="garamond" w:hAnsi="garamond"/>
          <w:color w:val="000000" w:themeColor="text1"/>
        </w:rPr>
        <w:t xml:space="preserve"> </w:t>
      </w:r>
      <w:r w:rsidR="00C956A7">
        <w:rPr>
          <w:rFonts w:ascii="garamond" w:hAnsi="garamond"/>
          <w:color w:val="000000" w:themeColor="text1"/>
        </w:rPr>
        <w:t>without demanding the full development of a</w:t>
      </w:r>
      <w:r>
        <w:rPr>
          <w:rFonts w:ascii="garamond" w:hAnsi="garamond"/>
          <w:color w:val="000000" w:themeColor="text1"/>
        </w:rPr>
        <w:t>n independent and permanent</w:t>
      </w:r>
      <w:r w:rsidR="00C956A7">
        <w:rPr>
          <w:rFonts w:ascii="garamond" w:hAnsi="garamond"/>
          <w:color w:val="000000" w:themeColor="text1"/>
        </w:rPr>
        <w:t xml:space="preserve"> community.</w:t>
      </w:r>
    </w:p>
    <w:p w14:paraId="36A1F741" w14:textId="61FEF450" w:rsidR="00AA70E2" w:rsidRDefault="00AA70E2" w:rsidP="00CE316E">
      <w:pPr>
        <w:ind w:firstLine="720"/>
        <w:rPr>
          <w:rFonts w:ascii="garamond" w:hAnsi="garamond"/>
          <w:color w:val="000000" w:themeColor="text1"/>
        </w:rPr>
      </w:pPr>
      <w:r>
        <w:rPr>
          <w:rFonts w:ascii="garamond" w:hAnsi="garamond"/>
          <w:color w:val="000000" w:themeColor="text1"/>
        </w:rPr>
        <w:t xml:space="preserve">In the first case study of West Chicago’s Freedom Square protest, I pay particular attention to </w:t>
      </w:r>
      <w:proofErr w:type="spellStart"/>
      <w:r>
        <w:rPr>
          <w:rFonts w:ascii="garamond" w:hAnsi="garamond"/>
          <w:color w:val="000000" w:themeColor="text1"/>
        </w:rPr>
        <w:t>spacemaking</w:t>
      </w:r>
      <w:r w:rsidR="00C96B82">
        <w:rPr>
          <w:rFonts w:ascii="garamond" w:hAnsi="garamond"/>
          <w:color w:val="000000" w:themeColor="text1"/>
        </w:rPr>
        <w:t>’s</w:t>
      </w:r>
      <w:proofErr w:type="spellEnd"/>
      <w:r w:rsidR="00C96B82">
        <w:rPr>
          <w:rFonts w:ascii="garamond" w:hAnsi="garamond"/>
          <w:color w:val="000000" w:themeColor="text1"/>
        </w:rPr>
        <w:t xml:space="preserve"> </w:t>
      </w:r>
      <w:proofErr w:type="spellStart"/>
      <w:r w:rsidR="00C96B82">
        <w:rPr>
          <w:rFonts w:ascii="garamond" w:hAnsi="garamond"/>
          <w:color w:val="000000" w:themeColor="text1"/>
        </w:rPr>
        <w:t xml:space="preserve">refiguration </w:t>
      </w:r>
      <w:proofErr w:type="spellEnd"/>
      <w:r w:rsidR="00C96B82">
        <w:rPr>
          <w:rFonts w:ascii="garamond" w:hAnsi="garamond"/>
          <w:color w:val="000000" w:themeColor="text1"/>
        </w:rPr>
        <w:t xml:space="preserve">of </w:t>
      </w:r>
      <w:r>
        <w:rPr>
          <w:rFonts w:ascii="garamond" w:hAnsi="garamond"/>
          <w:color w:val="000000" w:themeColor="text1"/>
        </w:rPr>
        <w:t>the built environment</w:t>
      </w:r>
      <w:r w:rsidR="00C96B82">
        <w:rPr>
          <w:rFonts w:ascii="garamond" w:hAnsi="garamond"/>
          <w:color w:val="000000" w:themeColor="text1"/>
        </w:rPr>
        <w:t>—</w:t>
      </w:r>
      <w:r>
        <w:rPr>
          <w:rFonts w:ascii="garamond" w:hAnsi="garamond"/>
          <w:color w:val="000000" w:themeColor="text1"/>
        </w:rPr>
        <w:t>and in turn what activities, interactions, and material arrangements it can accommodate. In the second case study of South Chicago’s Healing Village protest, I emphasize how spacemaking is prefigurati</w:t>
      </w:r>
      <w:r w:rsidR="00C96B82">
        <w:rPr>
          <w:rFonts w:ascii="garamond" w:hAnsi="garamond"/>
          <w:color w:val="000000" w:themeColor="text1"/>
        </w:rPr>
        <w:t xml:space="preserve">ve </w:t>
      </w:r>
      <w:r>
        <w:rPr>
          <w:rFonts w:ascii="garamond" w:hAnsi="garamond"/>
          <w:color w:val="000000" w:themeColor="text1"/>
        </w:rPr>
        <w:t xml:space="preserve">and how it stretches participants’ understanding of political possibility. </w:t>
      </w:r>
    </w:p>
    <w:p w14:paraId="65D221A5" w14:textId="77777777" w:rsidR="0064293D" w:rsidRDefault="0064293D" w:rsidP="0077203E">
      <w:pPr>
        <w:rPr>
          <w:rFonts w:ascii="garamond" w:eastAsia="Times New Roman" w:hAnsi="garamond" w:cs="Times New Roman"/>
          <w:color w:val="000000" w:themeColor="text1"/>
        </w:rPr>
      </w:pPr>
    </w:p>
    <w:p w14:paraId="314E2520" w14:textId="62BBC48E" w:rsidR="00C20401" w:rsidRDefault="003D359A" w:rsidP="007E4578">
      <w:pPr>
        <w:rPr>
          <w:rFonts w:ascii="garamond" w:hAnsi="garamond"/>
          <w:i/>
          <w:iCs/>
        </w:rPr>
      </w:pPr>
      <w:r>
        <w:rPr>
          <w:rFonts w:ascii="garamond" w:hAnsi="garamond"/>
          <w:i/>
          <w:iCs/>
        </w:rPr>
        <w:t>Freedom Square</w:t>
      </w:r>
    </w:p>
    <w:p w14:paraId="550BBB7E" w14:textId="7E4E5652" w:rsidR="00995123" w:rsidRPr="001C2338" w:rsidRDefault="00995123" w:rsidP="00995123">
      <w:pPr>
        <w:ind w:firstLine="720"/>
        <w:rPr>
          <w:rFonts w:ascii="garamond" w:eastAsia="Times New Roman" w:hAnsi="garamond" w:cs="Times New Roman"/>
          <w:color w:val="000000" w:themeColor="text1"/>
        </w:rPr>
      </w:pPr>
      <w:r>
        <w:rPr>
          <w:rFonts w:ascii="garamond" w:hAnsi="garamond"/>
          <w:color w:val="000000" w:themeColor="text1"/>
        </w:rPr>
        <w:t xml:space="preserve">In the summer of 2016, </w:t>
      </w:r>
      <w:r w:rsidRPr="001C2338">
        <w:rPr>
          <w:rFonts w:ascii="garamond" w:hAnsi="garamond"/>
          <w:color w:val="000000" w:themeColor="text1"/>
        </w:rPr>
        <w:t xml:space="preserve">the Freedom Square occupation sought to “imagine </w:t>
      </w:r>
      <w:r>
        <w:rPr>
          <w:rFonts w:ascii="garamond" w:hAnsi="garamond"/>
          <w:color w:val="000000" w:themeColor="text1"/>
        </w:rPr>
        <w:t xml:space="preserve">a </w:t>
      </w:r>
      <w:r w:rsidRPr="001C2338">
        <w:rPr>
          <w:rFonts w:ascii="garamond" w:hAnsi="garamond"/>
          <w:color w:val="000000" w:themeColor="text1"/>
        </w:rPr>
        <w:t>world without police.”</w:t>
      </w:r>
      <w:r w:rsidRPr="001C2338">
        <w:rPr>
          <w:rStyle w:val="FootnoteReference"/>
          <w:rFonts w:ascii="garamond" w:hAnsi="garamond"/>
          <w:color w:val="000000" w:themeColor="text1"/>
        </w:rPr>
        <w:footnoteReference w:id="45"/>
      </w:r>
      <w:r w:rsidRPr="001C2338">
        <w:rPr>
          <w:rFonts w:ascii="garamond" w:hAnsi="garamond"/>
          <w:color w:val="000000" w:themeColor="text1"/>
        </w:rPr>
        <w:t xml:space="preserve"> </w:t>
      </w:r>
      <w:r>
        <w:rPr>
          <w:rFonts w:ascii="garamond" w:eastAsia="Times New Roman" w:hAnsi="garamond" w:cs="Times New Roman"/>
          <w:color w:val="000000" w:themeColor="text1"/>
        </w:rPr>
        <w:t>A</w:t>
      </w:r>
      <w:r w:rsidRPr="001C2338">
        <w:rPr>
          <w:rFonts w:ascii="garamond" w:eastAsia="Times New Roman" w:hAnsi="garamond" w:cs="Times New Roman"/>
          <w:color w:val="000000" w:themeColor="text1"/>
        </w:rPr>
        <w:t xml:space="preserve">ctivists converged on an empty lot near the Homan Square police precinct on the West Side of Chicago. The Homan Square facility, though well-known in the neighborhood for its hostile policing practices, had recently become notorious as an emblem of exploitative policing in Chicago following an investigative piece in </w:t>
      </w:r>
      <w:r w:rsidRPr="001124EB">
        <w:rPr>
          <w:rFonts w:ascii="garamond" w:eastAsia="Times New Roman" w:hAnsi="garamond" w:cs="Times New Roman"/>
          <w:i/>
          <w:iCs/>
          <w:color w:val="000000" w:themeColor="text1"/>
        </w:rPr>
        <w:t>The Guardian</w:t>
      </w:r>
      <w:r w:rsidRPr="001C2338">
        <w:rPr>
          <w:rFonts w:ascii="garamond" w:eastAsia="Times New Roman" w:hAnsi="garamond" w:cs="Times New Roman"/>
          <w:color w:val="000000" w:themeColor="text1"/>
        </w:rPr>
        <w:t>.</w:t>
      </w:r>
      <w:r w:rsidRPr="001C2338">
        <w:rPr>
          <w:rStyle w:val="FootnoteReference"/>
          <w:rFonts w:ascii="garamond" w:hAnsi="garamond"/>
          <w:color w:val="000000" w:themeColor="text1"/>
        </w:rPr>
        <w:footnoteReference w:id="46"/>
      </w:r>
      <w:r w:rsidRPr="001C2338">
        <w:rPr>
          <w:rFonts w:ascii="garamond" w:eastAsia="Times New Roman" w:hAnsi="garamond" w:cs="Times New Roman"/>
          <w:color w:val="000000" w:themeColor="text1"/>
        </w:rPr>
        <w:t xml:space="preserve"> </w:t>
      </w:r>
      <w:r w:rsidR="00D7102C">
        <w:rPr>
          <w:rFonts w:ascii="garamond" w:eastAsia="Times New Roman" w:hAnsi="garamond" w:cs="Times New Roman"/>
          <w:color w:val="000000" w:themeColor="text1"/>
        </w:rPr>
        <w:t>The investigation accused Homan Square of giving those arrested extremely l</w:t>
      </w:r>
      <w:r w:rsidRPr="001C2338">
        <w:rPr>
          <w:rFonts w:ascii="garamond" w:eastAsia="Times New Roman" w:hAnsi="garamond" w:cs="Times New Roman"/>
          <w:color w:val="000000" w:themeColor="text1"/>
        </w:rPr>
        <w:t xml:space="preserve">imited access to lawyers in the early stages of </w:t>
      </w:r>
      <w:r w:rsidR="00D7102C">
        <w:rPr>
          <w:rFonts w:ascii="garamond" w:eastAsia="Times New Roman" w:hAnsi="garamond" w:cs="Times New Roman"/>
          <w:color w:val="000000" w:themeColor="text1"/>
        </w:rPr>
        <w:t xml:space="preserve">their </w:t>
      </w:r>
      <w:r w:rsidRPr="001C2338">
        <w:rPr>
          <w:rFonts w:ascii="garamond" w:eastAsia="Times New Roman" w:hAnsi="garamond" w:cs="Times New Roman"/>
          <w:color w:val="000000" w:themeColor="text1"/>
        </w:rPr>
        <w:t xml:space="preserve">arrest, and lawyers’ difficulty accessing </w:t>
      </w:r>
      <w:r w:rsidR="00D7102C">
        <w:rPr>
          <w:rFonts w:ascii="garamond" w:eastAsia="Times New Roman" w:hAnsi="garamond" w:cs="Times New Roman"/>
          <w:color w:val="000000" w:themeColor="text1"/>
        </w:rPr>
        <w:t xml:space="preserve">or locating </w:t>
      </w:r>
      <w:r w:rsidRPr="001C2338">
        <w:rPr>
          <w:rFonts w:ascii="garamond" w:eastAsia="Times New Roman" w:hAnsi="garamond" w:cs="Times New Roman"/>
          <w:color w:val="000000" w:themeColor="text1"/>
        </w:rPr>
        <w:t xml:space="preserve">clients held in the </w:t>
      </w:r>
      <w:r w:rsidR="00D7102C">
        <w:rPr>
          <w:rFonts w:ascii="garamond" w:eastAsia="Times New Roman" w:hAnsi="garamond" w:cs="Times New Roman"/>
          <w:color w:val="000000" w:themeColor="text1"/>
        </w:rPr>
        <w:t xml:space="preserve">police </w:t>
      </w:r>
      <w:r w:rsidRPr="001C2338">
        <w:rPr>
          <w:rFonts w:ascii="garamond" w:eastAsia="Times New Roman" w:hAnsi="garamond" w:cs="Times New Roman"/>
          <w:color w:val="000000" w:themeColor="text1"/>
        </w:rPr>
        <w:t>facility</w:t>
      </w:r>
      <w:r w:rsidR="00D7102C">
        <w:rPr>
          <w:rFonts w:ascii="garamond" w:eastAsia="Times New Roman" w:hAnsi="garamond" w:cs="Times New Roman"/>
          <w:color w:val="000000" w:themeColor="text1"/>
        </w:rPr>
        <w:t>—describing a ‘black-box’ facility</w:t>
      </w:r>
      <w:r w:rsidRPr="001C2338">
        <w:rPr>
          <w:rFonts w:ascii="garamond" w:eastAsia="Times New Roman" w:hAnsi="garamond" w:cs="Times New Roman"/>
          <w:color w:val="000000" w:themeColor="text1"/>
        </w:rPr>
        <w:t xml:space="preserve"> in which confusion and </w:t>
      </w:r>
      <w:r>
        <w:rPr>
          <w:rFonts w:ascii="garamond" w:eastAsia="Times New Roman" w:hAnsi="garamond" w:cs="Times New Roman"/>
          <w:color w:val="000000" w:themeColor="text1"/>
        </w:rPr>
        <w:t>opacity</w:t>
      </w:r>
      <w:r w:rsidRPr="001C2338">
        <w:rPr>
          <w:rFonts w:ascii="garamond" w:eastAsia="Times New Roman" w:hAnsi="garamond" w:cs="Times New Roman"/>
          <w:color w:val="000000" w:themeColor="text1"/>
        </w:rPr>
        <w:t xml:space="preserve"> w</w:t>
      </w:r>
      <w:r>
        <w:rPr>
          <w:rFonts w:ascii="garamond" w:eastAsia="Times New Roman" w:hAnsi="garamond" w:cs="Times New Roman"/>
          <w:color w:val="000000" w:themeColor="text1"/>
        </w:rPr>
        <w:t>ere</w:t>
      </w:r>
      <w:r w:rsidRPr="001C2338">
        <w:rPr>
          <w:rFonts w:ascii="garamond" w:eastAsia="Times New Roman" w:hAnsi="garamond" w:cs="Times New Roman"/>
          <w:color w:val="000000" w:themeColor="text1"/>
        </w:rPr>
        <w:t xml:space="preserve"> used to punish those arrested, and to facilitate confessions.</w:t>
      </w:r>
      <w:r w:rsidRPr="001C2338">
        <w:rPr>
          <w:rStyle w:val="FootnoteReference"/>
          <w:rFonts w:ascii="garamond" w:hAnsi="garamond"/>
          <w:color w:val="000000" w:themeColor="text1"/>
        </w:rPr>
        <w:footnoteReference w:id="47"/>
      </w:r>
      <w:r w:rsidRPr="001C2338">
        <w:rPr>
          <w:rFonts w:ascii="garamond" w:eastAsia="Times New Roman" w:hAnsi="garamond" w:cs="Times New Roman"/>
          <w:color w:val="000000" w:themeColor="text1"/>
        </w:rPr>
        <w:t xml:space="preserve"> </w:t>
      </w:r>
      <w:r>
        <w:rPr>
          <w:rFonts w:ascii="garamond" w:eastAsia="Times New Roman" w:hAnsi="garamond" w:cs="Times New Roman"/>
          <w:color w:val="000000" w:themeColor="text1"/>
        </w:rPr>
        <w:t>Following a</w:t>
      </w:r>
      <w:r w:rsidRPr="001C2338">
        <w:rPr>
          <w:rFonts w:ascii="garamond" w:eastAsia="Times New Roman" w:hAnsi="garamond" w:cs="Times New Roman"/>
          <w:color w:val="000000" w:themeColor="text1"/>
        </w:rPr>
        <w:t xml:space="preserve"> proposed </w:t>
      </w:r>
      <w:r w:rsidR="00D7102C">
        <w:rPr>
          <w:rFonts w:ascii="garamond" w:eastAsia="Times New Roman" w:hAnsi="garamond" w:cs="Times New Roman"/>
          <w:color w:val="000000" w:themeColor="text1"/>
        </w:rPr>
        <w:t xml:space="preserve">city </w:t>
      </w:r>
      <w:r w:rsidRPr="001C2338">
        <w:rPr>
          <w:rFonts w:ascii="garamond" w:eastAsia="Times New Roman" w:hAnsi="garamond" w:cs="Times New Roman"/>
          <w:color w:val="000000" w:themeColor="text1"/>
        </w:rPr>
        <w:t>ordinance that would classify certain actions against police officers a hate crime</w:t>
      </w:r>
      <w:r>
        <w:rPr>
          <w:rFonts w:ascii="garamond" w:eastAsia="Times New Roman" w:hAnsi="garamond" w:cs="Times New Roman"/>
          <w:color w:val="000000" w:themeColor="text1"/>
        </w:rPr>
        <w:t>,</w:t>
      </w:r>
      <w:r w:rsidRPr="001C2338">
        <w:rPr>
          <w:rFonts w:ascii="garamond" w:eastAsia="Times New Roman" w:hAnsi="garamond" w:cs="Times New Roman"/>
          <w:color w:val="000000" w:themeColor="text1"/>
        </w:rPr>
        <w:t xml:space="preserve"> renewed attention </w:t>
      </w:r>
      <w:r>
        <w:rPr>
          <w:rFonts w:ascii="garamond" w:eastAsia="Times New Roman" w:hAnsi="garamond" w:cs="Times New Roman"/>
          <w:color w:val="000000" w:themeColor="text1"/>
        </w:rPr>
        <w:t>on</w:t>
      </w:r>
      <w:r w:rsidRPr="001C2338">
        <w:rPr>
          <w:rFonts w:ascii="garamond" w:eastAsia="Times New Roman" w:hAnsi="garamond" w:cs="Times New Roman"/>
          <w:color w:val="000000" w:themeColor="text1"/>
        </w:rPr>
        <w:t xml:space="preserve"> police misconduct put the practices of Homan Square back in focus for organizers in the surrounding North Lawndale community. </w:t>
      </w:r>
      <w:r>
        <w:rPr>
          <w:rFonts w:ascii="garamond" w:eastAsia="Times New Roman" w:hAnsi="garamond" w:cs="Times New Roman"/>
          <w:color w:val="000000" w:themeColor="text1"/>
        </w:rPr>
        <w:t xml:space="preserve">Homan Square came to represent the violence and racial injustice of Chicago policing. </w:t>
      </w:r>
    </w:p>
    <w:p w14:paraId="2F95E31D" w14:textId="5F9E824D" w:rsidR="009B5B97" w:rsidRDefault="00995123" w:rsidP="009B5B97">
      <w:pPr>
        <w:ind w:firstLine="720"/>
        <w:rPr>
          <w:rFonts w:ascii="garamond" w:hAnsi="garamond"/>
          <w:color w:val="000000" w:themeColor="text1"/>
        </w:rPr>
      </w:pPr>
      <w:r w:rsidRPr="001C2338">
        <w:rPr>
          <w:rFonts w:ascii="garamond" w:hAnsi="garamond"/>
          <w:color w:val="000000" w:themeColor="text1"/>
        </w:rPr>
        <w:t xml:space="preserve">The occupation was spearheaded by the #LetUsBreathe Collective, a group of young Black organizers in Chicago inspired by </w:t>
      </w:r>
      <w:r>
        <w:rPr>
          <w:rFonts w:ascii="garamond" w:hAnsi="garamond"/>
          <w:color w:val="000000" w:themeColor="text1"/>
        </w:rPr>
        <w:t>Movement for Black Lives</w:t>
      </w:r>
      <w:r w:rsidRPr="001C2338">
        <w:rPr>
          <w:rFonts w:ascii="garamond" w:hAnsi="garamond"/>
          <w:color w:val="000000" w:themeColor="text1"/>
        </w:rPr>
        <w:t xml:space="preserve"> activism </w:t>
      </w:r>
      <w:r>
        <w:rPr>
          <w:rFonts w:ascii="garamond" w:hAnsi="garamond"/>
          <w:color w:val="000000" w:themeColor="text1"/>
        </w:rPr>
        <w:t>following the 2014</w:t>
      </w:r>
      <w:r w:rsidRPr="001C2338">
        <w:rPr>
          <w:rFonts w:ascii="garamond" w:hAnsi="garamond"/>
          <w:color w:val="000000" w:themeColor="text1"/>
        </w:rPr>
        <w:t xml:space="preserve"> shooting of Michael Brown in 2014.</w:t>
      </w:r>
      <w:r w:rsidRPr="001C2338">
        <w:rPr>
          <w:rStyle w:val="FootnoteReference"/>
          <w:rFonts w:ascii="garamond" w:hAnsi="garamond"/>
          <w:color w:val="000000" w:themeColor="text1"/>
        </w:rPr>
        <w:footnoteReference w:id="48"/>
      </w:r>
      <w:r w:rsidRPr="001C2338">
        <w:rPr>
          <w:rFonts w:ascii="garamond" w:hAnsi="garamond"/>
          <w:color w:val="000000" w:themeColor="text1"/>
        </w:rPr>
        <w:t xml:space="preserve"> </w:t>
      </w:r>
      <w:r w:rsidRPr="001C2338">
        <w:rPr>
          <w:rFonts w:ascii="garamond" w:eastAsia="Times New Roman" w:hAnsi="garamond" w:cs="Times New Roman"/>
          <w:color w:val="000000" w:themeColor="text1"/>
        </w:rPr>
        <w:t xml:space="preserve">After holding a ‘block party’ blocking the entrance to the </w:t>
      </w:r>
      <w:r>
        <w:rPr>
          <w:rFonts w:ascii="garamond" w:eastAsia="Times New Roman" w:hAnsi="garamond" w:cs="Times New Roman"/>
          <w:color w:val="000000" w:themeColor="text1"/>
        </w:rPr>
        <w:t xml:space="preserve">Homan Square </w:t>
      </w:r>
      <w:r w:rsidRPr="001C2338">
        <w:rPr>
          <w:rFonts w:ascii="garamond" w:eastAsia="Times New Roman" w:hAnsi="garamond" w:cs="Times New Roman"/>
          <w:color w:val="000000" w:themeColor="text1"/>
        </w:rPr>
        <w:t xml:space="preserve">police facility, organizers set up an occupation of the empty lot across from it. For roughly six weeks </w:t>
      </w:r>
      <w:r>
        <w:rPr>
          <w:rFonts w:ascii="garamond" w:eastAsia="Times New Roman" w:hAnsi="garamond" w:cs="Times New Roman"/>
          <w:color w:val="000000" w:themeColor="text1"/>
        </w:rPr>
        <w:t xml:space="preserve">in the </w:t>
      </w:r>
      <w:r w:rsidRPr="001C2338">
        <w:rPr>
          <w:rFonts w:ascii="garamond" w:eastAsia="Times New Roman" w:hAnsi="garamond" w:cs="Times New Roman"/>
          <w:color w:val="000000" w:themeColor="text1"/>
        </w:rPr>
        <w:t>summer</w:t>
      </w:r>
      <w:r>
        <w:rPr>
          <w:rFonts w:ascii="garamond" w:eastAsia="Times New Roman" w:hAnsi="garamond" w:cs="Times New Roman"/>
          <w:color w:val="000000" w:themeColor="text1"/>
        </w:rPr>
        <w:t xml:space="preserve"> of 2016</w:t>
      </w:r>
      <w:r w:rsidRPr="001C2338">
        <w:rPr>
          <w:rFonts w:ascii="garamond" w:eastAsia="Times New Roman" w:hAnsi="garamond" w:cs="Times New Roman"/>
          <w:color w:val="000000" w:themeColor="text1"/>
        </w:rPr>
        <w:t>, protesters remained in that lot, providing food and water to community members, hosting games</w:t>
      </w:r>
      <w:r>
        <w:rPr>
          <w:rFonts w:ascii="garamond" w:eastAsia="Times New Roman" w:hAnsi="garamond" w:cs="Times New Roman"/>
          <w:color w:val="000000" w:themeColor="text1"/>
        </w:rPr>
        <w:t>,</w:t>
      </w:r>
      <w:r w:rsidRPr="001C2338">
        <w:rPr>
          <w:rFonts w:ascii="garamond" w:eastAsia="Times New Roman" w:hAnsi="garamond" w:cs="Times New Roman"/>
          <w:color w:val="000000" w:themeColor="text1"/>
        </w:rPr>
        <w:t xml:space="preserve"> and sharing art supplies. </w:t>
      </w:r>
      <w:r w:rsidR="00557BA4" w:rsidRPr="001C2338">
        <w:rPr>
          <w:rFonts w:ascii="garamond" w:hAnsi="garamond"/>
          <w:color w:val="000000" w:themeColor="text1"/>
        </w:rPr>
        <w:t xml:space="preserve">These activities embodied the organizers’ political commitment that public safety was ensured not by the police, but by the health </w:t>
      </w:r>
      <w:r w:rsidR="00557BA4">
        <w:rPr>
          <w:rFonts w:ascii="garamond" w:hAnsi="garamond"/>
          <w:color w:val="000000" w:themeColor="text1"/>
        </w:rPr>
        <w:t xml:space="preserve">and nourishment </w:t>
      </w:r>
      <w:r w:rsidR="00557BA4" w:rsidRPr="001C2338">
        <w:rPr>
          <w:rFonts w:ascii="garamond" w:hAnsi="garamond"/>
          <w:color w:val="000000" w:themeColor="text1"/>
        </w:rPr>
        <w:t>of the community</w:t>
      </w:r>
      <w:r w:rsidR="00557BA4">
        <w:rPr>
          <w:rFonts w:ascii="garamond" w:hAnsi="garamond"/>
          <w:color w:val="000000" w:themeColor="text1"/>
        </w:rPr>
        <w:t xml:space="preserve"> through education, nutrition, and material security</w:t>
      </w:r>
      <w:r w:rsidR="00557BA4" w:rsidRPr="001C2338">
        <w:rPr>
          <w:rFonts w:ascii="garamond" w:hAnsi="garamond"/>
          <w:color w:val="000000" w:themeColor="text1"/>
        </w:rPr>
        <w:t xml:space="preserve">. </w:t>
      </w:r>
    </w:p>
    <w:p w14:paraId="100B263B" w14:textId="7C7AF25D" w:rsidR="002D01BF" w:rsidRDefault="00552D44" w:rsidP="002D01BF">
      <w:pPr>
        <w:ind w:firstLine="720"/>
        <w:rPr>
          <w:rFonts w:ascii="garamond" w:hAnsi="garamond"/>
          <w:color w:val="000000" w:themeColor="text1"/>
        </w:rPr>
      </w:pPr>
      <w:r>
        <w:rPr>
          <w:rFonts w:ascii="garamond" w:hAnsi="garamond"/>
          <w:color w:val="000000" w:themeColor="text1"/>
        </w:rPr>
        <w:t>At Freedom Square</w:t>
      </w:r>
      <w:r w:rsidR="002D01BF" w:rsidRPr="001C2338">
        <w:rPr>
          <w:rFonts w:ascii="garamond" w:hAnsi="garamond"/>
          <w:color w:val="000000" w:themeColor="text1"/>
        </w:rPr>
        <w:t>, the main features of the occupation were camping and canopy tents.</w:t>
      </w:r>
      <w:r w:rsidR="0030024C">
        <w:rPr>
          <w:rFonts w:ascii="garamond" w:hAnsi="garamond"/>
          <w:color w:val="000000" w:themeColor="text1"/>
        </w:rPr>
        <w:t xml:space="preserve"> </w:t>
      </w:r>
      <w:r w:rsidR="002D01BF" w:rsidRPr="001C2338">
        <w:rPr>
          <w:rFonts w:ascii="garamond" w:hAnsi="garamond"/>
          <w:color w:val="000000" w:themeColor="text1"/>
        </w:rPr>
        <w:t xml:space="preserve">In order to expand and partially enclose the interior space, some of the canopy tents had tarps hanging between other tents. Each canopy offered a different service. There was a </w:t>
      </w:r>
      <w:r w:rsidR="007B50AE">
        <w:rPr>
          <w:rFonts w:ascii="garamond" w:hAnsi="garamond"/>
          <w:color w:val="000000" w:themeColor="text1"/>
        </w:rPr>
        <w:t xml:space="preserve">food tent, </w:t>
      </w:r>
      <w:r w:rsidR="002D01BF" w:rsidRPr="001C2338">
        <w:rPr>
          <w:rFonts w:ascii="garamond" w:hAnsi="garamond"/>
          <w:color w:val="000000" w:themeColor="text1"/>
        </w:rPr>
        <w:t>first aid tent, a hospitality tent, and a free store. The free store offered clothing and books “for us, by us, and about us.”</w:t>
      </w:r>
      <w:r w:rsidR="002D01BF" w:rsidRPr="001C2338">
        <w:rPr>
          <w:rStyle w:val="FootnoteReference"/>
          <w:rFonts w:ascii="garamond" w:hAnsi="garamond"/>
          <w:color w:val="000000" w:themeColor="text1"/>
        </w:rPr>
        <w:footnoteReference w:id="49"/>
      </w:r>
      <w:r w:rsidR="002D01BF" w:rsidRPr="001C2338">
        <w:rPr>
          <w:rFonts w:ascii="garamond" w:hAnsi="garamond"/>
          <w:color w:val="000000" w:themeColor="text1"/>
        </w:rPr>
        <w:t xml:space="preserve"> When the weather allowed, folding tables clustered around the site, covered with free art supplies for neighborhood children. Barbecues were often seen at the site, and free hot meals and </w:t>
      </w:r>
      <w:r w:rsidR="002D01BF" w:rsidRPr="001C2338">
        <w:rPr>
          <w:rFonts w:ascii="garamond" w:hAnsi="garamond"/>
          <w:color w:val="000000" w:themeColor="text1"/>
        </w:rPr>
        <w:lastRenderedPageBreak/>
        <w:t>fresh produce were shared with community members.</w:t>
      </w:r>
      <w:r w:rsidR="002D01BF" w:rsidRPr="001C2338">
        <w:rPr>
          <w:rStyle w:val="FootnoteReference"/>
          <w:rFonts w:ascii="garamond" w:hAnsi="garamond"/>
          <w:color w:val="000000" w:themeColor="text1"/>
        </w:rPr>
        <w:footnoteReference w:id="50"/>
      </w:r>
      <w:r w:rsidR="002D01BF" w:rsidRPr="001C2338">
        <w:rPr>
          <w:rFonts w:ascii="garamond" w:hAnsi="garamond"/>
          <w:color w:val="000000" w:themeColor="text1"/>
        </w:rPr>
        <w:t xml:space="preserve"> There were impromptu dance recitals and community discussions, as well as scheduled</w:t>
      </w:r>
      <w:r w:rsidR="0030024C">
        <w:rPr>
          <w:rFonts w:ascii="garamond" w:hAnsi="garamond"/>
          <w:color w:val="000000" w:themeColor="text1"/>
        </w:rPr>
        <w:t xml:space="preserve"> events for</w:t>
      </w:r>
      <w:r w:rsidR="002D01BF" w:rsidRPr="001C2338">
        <w:rPr>
          <w:rFonts w:ascii="garamond" w:hAnsi="garamond"/>
          <w:color w:val="000000" w:themeColor="text1"/>
        </w:rPr>
        <w:t xml:space="preserve"> arts and crafts </w:t>
      </w:r>
      <w:r w:rsidR="0030024C">
        <w:rPr>
          <w:rFonts w:ascii="garamond" w:hAnsi="garamond"/>
          <w:color w:val="000000" w:themeColor="text1"/>
        </w:rPr>
        <w:t>and political</w:t>
      </w:r>
      <w:r w:rsidR="002D01BF" w:rsidRPr="001C2338">
        <w:rPr>
          <w:rFonts w:ascii="garamond" w:hAnsi="garamond"/>
          <w:color w:val="000000" w:themeColor="text1"/>
        </w:rPr>
        <w:t xml:space="preserve"> speeches. By creating spaces where these </w:t>
      </w:r>
      <w:r w:rsidR="002D01BF">
        <w:rPr>
          <w:rFonts w:ascii="garamond" w:hAnsi="garamond"/>
          <w:color w:val="000000" w:themeColor="text1"/>
        </w:rPr>
        <w:t xml:space="preserve">various </w:t>
      </w:r>
      <w:r w:rsidR="002D01BF" w:rsidRPr="001C2338">
        <w:rPr>
          <w:rFonts w:ascii="garamond" w:hAnsi="garamond"/>
          <w:color w:val="000000" w:themeColor="text1"/>
        </w:rPr>
        <w:t>activities could flourish, Freedom Square allowed participants to embody the ideals they saw as core to an anti-carceral future. “Part of being out here is having the autonomy to construct a village where we live our values every day and have the courage to resolve conflict without calling police,” Colón explained.</w:t>
      </w:r>
      <w:r w:rsidR="002D01BF" w:rsidRPr="001C2338">
        <w:rPr>
          <w:rStyle w:val="FootnoteReference"/>
          <w:rFonts w:ascii="garamond" w:hAnsi="garamond"/>
          <w:color w:val="000000" w:themeColor="text1"/>
        </w:rPr>
        <w:footnoteReference w:id="51"/>
      </w:r>
      <w:r w:rsidR="002D01BF" w:rsidRPr="001C2338">
        <w:rPr>
          <w:rFonts w:ascii="garamond" w:hAnsi="garamond"/>
          <w:color w:val="000000" w:themeColor="text1"/>
        </w:rPr>
        <w:t xml:space="preserve"> </w:t>
      </w:r>
    </w:p>
    <w:p w14:paraId="30288858" w14:textId="5E351D8F" w:rsidR="0038167B" w:rsidRDefault="0038167B" w:rsidP="0038167B">
      <w:pPr>
        <w:ind w:firstLine="720"/>
        <w:rPr>
          <w:rFonts w:ascii="garamond" w:hAnsi="garamond"/>
          <w:color w:val="000000" w:themeColor="text1"/>
        </w:rPr>
      </w:pPr>
      <w:r>
        <w:rPr>
          <w:rFonts w:ascii="garamond" w:hAnsi="garamond"/>
          <w:color w:val="000000" w:themeColor="text1"/>
        </w:rPr>
        <w:t>Space-making was core to how activists understood their protest. Activists often spoke about their political projects in the</w:t>
      </w:r>
      <w:r w:rsidRPr="001C2338">
        <w:rPr>
          <w:rFonts w:ascii="garamond" w:hAnsi="garamond"/>
          <w:color w:val="000000" w:themeColor="text1"/>
        </w:rPr>
        <w:t xml:space="preserve"> language of construction. Ideas, they suggested, must be built. “It’s important for activists to take their ideologies out of the meeting room and into the block,” organizer Kristiana Colón explained from within the Freedom Sq</w:t>
      </w:r>
      <w:r>
        <w:rPr>
          <w:rFonts w:ascii="garamond" w:hAnsi="garamond"/>
          <w:color w:val="000000" w:themeColor="text1"/>
        </w:rPr>
        <w:t>ua</w:t>
      </w:r>
      <w:r w:rsidRPr="001C2338">
        <w:rPr>
          <w:rFonts w:ascii="garamond" w:hAnsi="garamond"/>
          <w:color w:val="000000" w:themeColor="text1"/>
        </w:rPr>
        <w:t>re hospitality tent.</w:t>
      </w:r>
      <w:r>
        <w:rPr>
          <w:rStyle w:val="FootnoteReference"/>
          <w:rFonts w:ascii="garamond" w:hAnsi="garamond"/>
          <w:color w:val="000000" w:themeColor="text1"/>
        </w:rPr>
        <w:footnoteReference w:id="52"/>
      </w:r>
      <w:r w:rsidRPr="001C2338">
        <w:rPr>
          <w:rFonts w:ascii="garamond" w:hAnsi="garamond"/>
          <w:color w:val="000000" w:themeColor="text1"/>
        </w:rPr>
        <w:t xml:space="preserve"> Describing how they convince community members to join the effort, activist Ericka Dickerson explained, “There have been passersby who will come up and say ‘what are y’all doing? What we doing?’ And we tell them why we’re here, and what we’re offering, and how we would like to build with them.”</w:t>
      </w:r>
      <w:r w:rsidRPr="001C2338">
        <w:rPr>
          <w:rStyle w:val="FootnoteReference"/>
          <w:rFonts w:ascii="garamond" w:hAnsi="garamond"/>
          <w:color w:val="000000" w:themeColor="text1"/>
        </w:rPr>
        <w:footnoteReference w:id="53"/>
      </w:r>
      <w:r w:rsidRPr="001C2338">
        <w:rPr>
          <w:rFonts w:ascii="garamond" w:hAnsi="garamond"/>
          <w:color w:val="000000" w:themeColor="text1"/>
        </w:rPr>
        <w:t xml:space="preserve"> The</w:t>
      </w:r>
      <w:r>
        <w:rPr>
          <w:rFonts w:ascii="garamond" w:hAnsi="garamond"/>
          <w:color w:val="000000" w:themeColor="text1"/>
        </w:rPr>
        <w:t xml:space="preserve"> </w:t>
      </w:r>
      <w:r w:rsidRPr="001C2338">
        <w:rPr>
          <w:rFonts w:ascii="garamond" w:hAnsi="garamond"/>
          <w:color w:val="000000" w:themeColor="text1"/>
        </w:rPr>
        <w:t>protest w</w:t>
      </w:r>
      <w:r>
        <w:rPr>
          <w:rFonts w:ascii="garamond" w:hAnsi="garamond"/>
          <w:color w:val="000000" w:themeColor="text1"/>
        </w:rPr>
        <w:t>as itself a</w:t>
      </w:r>
      <w:r w:rsidRPr="001C2338">
        <w:rPr>
          <w:rFonts w:ascii="garamond" w:hAnsi="garamond"/>
          <w:color w:val="000000" w:themeColor="text1"/>
        </w:rPr>
        <w:t xml:space="preserve"> practic</w:t>
      </w:r>
      <w:r>
        <w:rPr>
          <w:rFonts w:ascii="garamond" w:hAnsi="garamond"/>
          <w:color w:val="000000" w:themeColor="text1"/>
        </w:rPr>
        <w:t>e</w:t>
      </w:r>
      <w:r w:rsidRPr="001C2338">
        <w:rPr>
          <w:rFonts w:ascii="garamond" w:hAnsi="garamond"/>
          <w:color w:val="000000" w:themeColor="text1"/>
        </w:rPr>
        <w:t xml:space="preserve"> of experimentation and creation, in which ‘building’ was at once a material project and a process of community</w:t>
      </w:r>
      <w:r>
        <w:rPr>
          <w:rFonts w:ascii="garamond" w:hAnsi="garamond"/>
          <w:color w:val="000000" w:themeColor="text1"/>
        </w:rPr>
        <w:t>-making in space</w:t>
      </w:r>
      <w:r w:rsidRPr="001C2338">
        <w:rPr>
          <w:rFonts w:ascii="garamond" w:hAnsi="garamond"/>
          <w:color w:val="000000" w:themeColor="text1"/>
        </w:rPr>
        <w:t>.</w:t>
      </w:r>
    </w:p>
    <w:p w14:paraId="0EFC58DE" w14:textId="585E1E7C" w:rsidR="00FA26D2" w:rsidRDefault="009B5B97" w:rsidP="00822896">
      <w:pPr>
        <w:ind w:firstLine="720"/>
        <w:rPr>
          <w:rFonts w:ascii="garamond" w:eastAsia="Times New Roman" w:hAnsi="garamond" w:cs="Times New Roman"/>
          <w:color w:val="000000" w:themeColor="text1"/>
        </w:rPr>
      </w:pPr>
      <w:r>
        <w:rPr>
          <w:rFonts w:ascii="garamond" w:eastAsia="Times New Roman" w:hAnsi="garamond" w:cs="Times New Roman"/>
        </w:rPr>
        <w:t>Contrast</w:t>
      </w:r>
      <w:r>
        <w:rPr>
          <w:rFonts w:ascii="garamond" w:eastAsia="Times New Roman" w:hAnsi="garamond" w:cs="Times New Roman"/>
          <w:color w:val="C45911" w:themeColor="accent2" w:themeShade="BF"/>
        </w:rPr>
        <w:t xml:space="preserve"> </w:t>
      </w:r>
      <w:r w:rsidR="00557BA4">
        <w:rPr>
          <w:rFonts w:ascii="garamond" w:eastAsia="Times New Roman" w:hAnsi="garamond" w:cs="Times New Roman"/>
          <w:color w:val="000000" w:themeColor="text1"/>
        </w:rPr>
        <w:t>with the Homan Square police</w:t>
      </w:r>
      <w:r w:rsidR="0030024C">
        <w:rPr>
          <w:rFonts w:ascii="garamond" w:eastAsia="Times New Roman" w:hAnsi="garamond" w:cs="Times New Roman"/>
          <w:color w:val="000000" w:themeColor="text1"/>
        </w:rPr>
        <w:t xml:space="preserve"> facility across the street</w:t>
      </w:r>
      <w:r w:rsidR="00557BA4">
        <w:rPr>
          <w:rFonts w:ascii="garamond" w:eastAsia="Times New Roman" w:hAnsi="garamond" w:cs="Times New Roman"/>
          <w:color w:val="000000" w:themeColor="text1"/>
        </w:rPr>
        <w:t xml:space="preserve"> was central to the protest’s tactical repertoire. The aesthetic contrast was clear. </w:t>
      </w:r>
      <w:r w:rsidR="0038167B">
        <w:rPr>
          <w:rFonts w:ascii="garamond" w:hAnsi="garamond"/>
          <w:color w:val="000000" w:themeColor="text1"/>
        </w:rPr>
        <w:t xml:space="preserve">The detention center was notorious in the community, and </w:t>
      </w:r>
      <w:r w:rsidR="0038167B">
        <w:rPr>
          <w:rFonts w:ascii="garamond" w:eastAsia="Times New Roman" w:hAnsi="garamond" w:cs="Times New Roman"/>
          <w:color w:val="000000" w:themeColor="text1"/>
        </w:rPr>
        <w:t>t</w:t>
      </w:r>
      <w:r w:rsidR="0038167B" w:rsidRPr="001C2338">
        <w:rPr>
          <w:rFonts w:ascii="garamond" w:eastAsia="Times New Roman" w:hAnsi="garamond" w:cs="Times New Roman"/>
          <w:color w:val="000000" w:themeColor="text1"/>
        </w:rPr>
        <w:t xml:space="preserve">he </w:t>
      </w:r>
      <w:r w:rsidR="0038167B">
        <w:rPr>
          <w:rFonts w:ascii="garamond" w:eastAsia="Times New Roman" w:hAnsi="garamond" w:cs="Times New Roman"/>
          <w:color w:val="000000" w:themeColor="text1"/>
        </w:rPr>
        <w:t xml:space="preserve">architectural history of the facility represented the </w:t>
      </w:r>
      <w:r w:rsidR="0038167B" w:rsidRPr="001C2338">
        <w:rPr>
          <w:rFonts w:ascii="garamond" w:eastAsia="Times New Roman" w:hAnsi="garamond" w:cs="Times New Roman"/>
          <w:color w:val="000000" w:themeColor="text1"/>
        </w:rPr>
        <w:t>tight connection between disinvestment and state violence</w:t>
      </w:r>
      <w:r w:rsidR="0038167B">
        <w:rPr>
          <w:rFonts w:ascii="garamond" w:eastAsia="Times New Roman" w:hAnsi="garamond" w:cs="Times New Roman"/>
          <w:color w:val="000000" w:themeColor="text1"/>
        </w:rPr>
        <w:t xml:space="preserve"> on Chicago’s Southside</w:t>
      </w:r>
      <w:r w:rsidR="0038167B" w:rsidRPr="001C2338">
        <w:rPr>
          <w:rFonts w:ascii="garamond" w:eastAsia="Times New Roman" w:hAnsi="garamond" w:cs="Times New Roman"/>
          <w:color w:val="000000" w:themeColor="text1"/>
        </w:rPr>
        <w:t>. The building had originally been a Sears Roebucks warehouse, part of a massive merchandise and administration complex that dominated the West Side neighborhood, before Sears (a</w:t>
      </w:r>
      <w:r w:rsidR="0038167B">
        <w:rPr>
          <w:rFonts w:ascii="garamond" w:eastAsia="Times New Roman" w:hAnsi="garamond" w:cs="Times New Roman"/>
          <w:color w:val="000000" w:themeColor="text1"/>
        </w:rPr>
        <w:t xml:space="preserve">long with </w:t>
      </w:r>
      <w:r w:rsidR="0038167B" w:rsidRPr="001C2338">
        <w:rPr>
          <w:rFonts w:ascii="garamond" w:eastAsia="Times New Roman" w:hAnsi="garamond" w:cs="Times New Roman"/>
          <w:color w:val="000000" w:themeColor="text1"/>
        </w:rPr>
        <w:t>all the jobs it had provided) moved downtown</w:t>
      </w:r>
      <w:r w:rsidR="0038167B">
        <w:rPr>
          <w:rFonts w:ascii="garamond" w:eastAsia="Times New Roman" w:hAnsi="garamond" w:cs="Times New Roman"/>
          <w:color w:val="000000" w:themeColor="text1"/>
        </w:rPr>
        <w:t>—</w:t>
      </w:r>
      <w:r w:rsidR="0038167B" w:rsidRPr="001C2338">
        <w:rPr>
          <w:rFonts w:ascii="garamond" w:eastAsia="Times New Roman" w:hAnsi="garamond" w:cs="Times New Roman"/>
          <w:color w:val="000000" w:themeColor="text1"/>
        </w:rPr>
        <w:t>and the police moved in.</w:t>
      </w:r>
      <w:r w:rsidR="0038167B" w:rsidRPr="001C2338">
        <w:rPr>
          <w:rStyle w:val="FootnoteReference"/>
          <w:rFonts w:ascii="garamond" w:eastAsia="Times New Roman" w:hAnsi="garamond" w:cs="Times New Roman"/>
          <w:color w:val="000000" w:themeColor="text1"/>
        </w:rPr>
        <w:footnoteReference w:id="54"/>
      </w:r>
      <w:r w:rsidR="0038167B" w:rsidRPr="001C2338">
        <w:rPr>
          <w:rFonts w:ascii="garamond" w:eastAsia="Times New Roman" w:hAnsi="garamond" w:cs="Times New Roman"/>
          <w:color w:val="000000" w:themeColor="text1"/>
        </w:rPr>
        <w:t xml:space="preserve"> </w:t>
      </w:r>
      <w:r w:rsidR="00557BA4">
        <w:rPr>
          <w:rFonts w:ascii="garamond" w:eastAsia="Times New Roman" w:hAnsi="garamond" w:cs="Times New Roman"/>
          <w:color w:val="000000" w:themeColor="text1"/>
        </w:rPr>
        <w:t xml:space="preserve">A Chicago Tribune article described how </w:t>
      </w:r>
      <w:r w:rsidR="0038167B">
        <w:rPr>
          <w:rFonts w:ascii="garamond" w:eastAsia="Times New Roman" w:hAnsi="garamond" w:cs="Times New Roman"/>
          <w:color w:val="000000" w:themeColor="text1"/>
        </w:rPr>
        <w:t>Freedom Square’s</w:t>
      </w:r>
      <w:r w:rsidR="00557BA4">
        <w:rPr>
          <w:rFonts w:ascii="garamond" w:eastAsia="Times New Roman" w:hAnsi="garamond" w:cs="Times New Roman"/>
          <w:color w:val="000000" w:themeColor="text1"/>
        </w:rPr>
        <w:t xml:space="preserve"> collection of a few dozen </w:t>
      </w:r>
      <w:r w:rsidR="0030024C">
        <w:rPr>
          <w:rFonts w:ascii="garamond" w:eastAsia="Times New Roman" w:hAnsi="garamond" w:cs="Times New Roman"/>
          <w:color w:val="000000" w:themeColor="text1"/>
        </w:rPr>
        <w:t xml:space="preserve">scrappy </w:t>
      </w:r>
      <w:r w:rsidR="00557BA4">
        <w:rPr>
          <w:rFonts w:ascii="garamond" w:eastAsia="Times New Roman" w:hAnsi="garamond" w:cs="Times New Roman"/>
          <w:color w:val="000000" w:themeColor="text1"/>
        </w:rPr>
        <w:t xml:space="preserve">tents turned attention to the imposing </w:t>
      </w:r>
      <w:r w:rsidR="0030024C">
        <w:rPr>
          <w:rFonts w:ascii="garamond" w:eastAsia="Times New Roman" w:hAnsi="garamond" w:cs="Times New Roman"/>
          <w:color w:val="000000" w:themeColor="text1"/>
        </w:rPr>
        <w:t xml:space="preserve">building </w:t>
      </w:r>
      <w:r w:rsidR="00557BA4">
        <w:rPr>
          <w:rFonts w:ascii="garamond" w:eastAsia="Times New Roman" w:hAnsi="garamond" w:cs="Times New Roman"/>
          <w:color w:val="000000" w:themeColor="text1"/>
        </w:rPr>
        <w:t>across the street</w:t>
      </w:r>
      <w:r w:rsidR="0030024C">
        <w:rPr>
          <w:rFonts w:ascii="garamond" w:eastAsia="Times New Roman" w:hAnsi="garamond" w:cs="Times New Roman"/>
          <w:color w:val="000000" w:themeColor="text1"/>
        </w:rPr>
        <w:t>, lined with fencing and a glut of blue-blazoned police cars</w:t>
      </w:r>
      <w:r w:rsidR="00557BA4">
        <w:rPr>
          <w:rFonts w:ascii="garamond" w:eastAsia="Times New Roman" w:hAnsi="garamond" w:cs="Times New Roman"/>
          <w:color w:val="000000" w:themeColor="text1"/>
        </w:rPr>
        <w:t>: “</w:t>
      </w:r>
      <w:r w:rsidR="00557BA4" w:rsidRPr="00557BA4">
        <w:rPr>
          <w:rFonts w:ascii="garamond" w:eastAsia="Times New Roman" w:hAnsi="garamond" w:cs="Times New Roman"/>
          <w:color w:val="000000" w:themeColor="text1"/>
        </w:rPr>
        <w:t>as ephemeral as Freedom Square seems, it's a counterpoint of a place, constructed in such a way to draw your gaze across the street, to a different nearby building, the Chicago Police Department's Homan Square facility, a lightning rod of police misconduct allegations for many years.</w:t>
      </w:r>
      <w:r w:rsidR="00557BA4">
        <w:rPr>
          <w:rFonts w:ascii="garamond" w:eastAsia="Times New Roman" w:hAnsi="garamond" w:cs="Times New Roman"/>
          <w:color w:val="000000" w:themeColor="text1"/>
        </w:rPr>
        <w:t>”</w:t>
      </w:r>
      <w:r w:rsidR="00557BA4">
        <w:rPr>
          <w:rStyle w:val="FootnoteReference"/>
          <w:rFonts w:ascii="garamond" w:eastAsia="Times New Roman" w:hAnsi="garamond" w:cs="Times New Roman"/>
          <w:color w:val="000000" w:themeColor="text1"/>
        </w:rPr>
        <w:footnoteReference w:id="55"/>
      </w:r>
      <w:r w:rsidR="00557BA4">
        <w:rPr>
          <w:rFonts w:ascii="garamond" w:eastAsia="Times New Roman" w:hAnsi="garamond" w:cs="Times New Roman"/>
          <w:color w:val="000000" w:themeColor="text1"/>
        </w:rPr>
        <w:t xml:space="preserve"> </w:t>
      </w:r>
      <w:r w:rsidR="00FA26D2">
        <w:rPr>
          <w:rFonts w:ascii="garamond" w:eastAsia="Times New Roman" w:hAnsi="garamond" w:cs="Times New Roman"/>
          <w:color w:val="000000" w:themeColor="text1"/>
        </w:rPr>
        <w:t xml:space="preserve">The contrast between the occupied lot’s bustling open atmosphere and the police facility’s </w:t>
      </w:r>
      <w:r w:rsidR="00FA26D2" w:rsidRPr="009B5B97">
        <w:rPr>
          <w:rFonts w:ascii="garamond" w:eastAsia="Times New Roman" w:hAnsi="garamond" w:cs="Times New Roman"/>
        </w:rPr>
        <w:t xml:space="preserve">opacity and monumental scale served </w:t>
      </w:r>
      <w:r w:rsidR="00FA26D2">
        <w:rPr>
          <w:rFonts w:ascii="garamond" w:eastAsia="Times New Roman" w:hAnsi="garamond" w:cs="Times New Roman"/>
          <w:color w:val="000000" w:themeColor="text1"/>
        </w:rPr>
        <w:t>as a discursive argument against the impersonality and violence of Chicago public safety</w:t>
      </w:r>
      <w:r w:rsidR="00821650">
        <w:rPr>
          <w:rFonts w:ascii="garamond" w:eastAsia="Times New Roman" w:hAnsi="garamond" w:cs="Times New Roman"/>
          <w:color w:val="000000" w:themeColor="text1"/>
        </w:rPr>
        <w:t>. H</w:t>
      </w:r>
      <w:r w:rsidR="00FA26D2">
        <w:rPr>
          <w:rFonts w:ascii="garamond" w:eastAsia="Times New Roman" w:hAnsi="garamond" w:cs="Times New Roman"/>
          <w:color w:val="000000" w:themeColor="text1"/>
        </w:rPr>
        <w:t xml:space="preserve">owever, its spatial character also challenged the architecture of the carceral system, </w:t>
      </w:r>
      <w:r w:rsidR="000E7793">
        <w:rPr>
          <w:rFonts w:ascii="garamond" w:eastAsia="Times New Roman" w:hAnsi="garamond" w:cs="Times New Roman"/>
          <w:color w:val="000000" w:themeColor="text1"/>
        </w:rPr>
        <w:t>denaturalizing</w:t>
      </w:r>
      <w:r w:rsidR="00FA26D2">
        <w:rPr>
          <w:rFonts w:ascii="garamond" w:eastAsia="Times New Roman" w:hAnsi="garamond" w:cs="Times New Roman"/>
          <w:color w:val="000000" w:themeColor="text1"/>
        </w:rPr>
        <w:t xml:space="preserve"> the monumental presence of police, the size of the facility, its detention capacity, its opacity, and its inaccessibility. Freedom Square in contrast was open, human-scaled, and modest—and yet explicitly claimed to serve the same function: public safety.</w:t>
      </w:r>
    </w:p>
    <w:p w14:paraId="0065ACB1" w14:textId="3192DE46" w:rsidR="00821650" w:rsidRDefault="00557BA4" w:rsidP="00FA26D2">
      <w:pPr>
        <w:ind w:firstLine="720"/>
        <w:rPr>
          <w:rFonts w:ascii="garamond" w:hAnsi="garamond"/>
          <w:color w:val="000000" w:themeColor="text1"/>
        </w:rPr>
      </w:pPr>
      <w:r>
        <w:rPr>
          <w:rFonts w:ascii="garamond" w:eastAsia="Times New Roman" w:hAnsi="garamond" w:cs="Times New Roman"/>
          <w:color w:val="000000" w:themeColor="text1"/>
        </w:rPr>
        <w:t>Freedom Square activities aimed to create an experiential contrast as well. The spatial features of the protest accomplished this</w:t>
      </w:r>
      <w:r w:rsidR="009B5B97">
        <w:rPr>
          <w:rFonts w:ascii="garamond" w:eastAsia="Times New Roman" w:hAnsi="garamond" w:cs="Times New Roman"/>
          <w:color w:val="000000" w:themeColor="text1"/>
        </w:rPr>
        <w:t xml:space="preserve"> through </w:t>
      </w:r>
      <w:r>
        <w:rPr>
          <w:rFonts w:ascii="garamond" w:eastAsia="Times New Roman" w:hAnsi="garamond" w:cs="Times New Roman"/>
          <w:color w:val="000000" w:themeColor="text1"/>
        </w:rPr>
        <w:t xml:space="preserve">not </w:t>
      </w:r>
      <w:r w:rsidR="009B5B97">
        <w:rPr>
          <w:rFonts w:ascii="garamond" w:eastAsia="Times New Roman" w:hAnsi="garamond" w:cs="Times New Roman"/>
          <w:color w:val="000000" w:themeColor="text1"/>
        </w:rPr>
        <w:t>only</w:t>
      </w:r>
      <w:r>
        <w:rPr>
          <w:rFonts w:ascii="garamond" w:eastAsia="Times New Roman" w:hAnsi="garamond" w:cs="Times New Roman"/>
          <w:color w:val="000000" w:themeColor="text1"/>
        </w:rPr>
        <w:t xml:space="preserve"> a discursive rejection of carcerality, but experience in an alternative. </w:t>
      </w:r>
      <w:r w:rsidR="0030024C" w:rsidRPr="001C2338">
        <w:rPr>
          <w:rFonts w:ascii="garamond" w:eastAsia="Times New Roman" w:hAnsi="garamond" w:cs="Times New Roman"/>
          <w:color w:val="000000" w:themeColor="text1"/>
        </w:rPr>
        <w:t xml:space="preserve">“We aim to be the opposite of what that shit is,” explained an activist at </w:t>
      </w:r>
      <w:r w:rsidR="0030024C" w:rsidRPr="001C2338">
        <w:rPr>
          <w:rFonts w:ascii="garamond" w:eastAsia="Times New Roman" w:hAnsi="garamond" w:cs="Times New Roman"/>
          <w:color w:val="000000" w:themeColor="text1"/>
        </w:rPr>
        <w:lastRenderedPageBreak/>
        <w:t>the site, pointing to the Homan Square facility.</w:t>
      </w:r>
      <w:r w:rsidR="0030024C" w:rsidRPr="001C2338">
        <w:rPr>
          <w:rStyle w:val="FootnoteReference"/>
          <w:rFonts w:ascii="garamond" w:eastAsia="Times New Roman" w:hAnsi="garamond" w:cs="Times New Roman"/>
          <w:color w:val="000000" w:themeColor="text1"/>
        </w:rPr>
        <w:footnoteReference w:id="56"/>
      </w:r>
      <w:r w:rsidR="0030024C">
        <w:rPr>
          <w:rFonts w:ascii="garamond" w:eastAsia="Times New Roman" w:hAnsi="garamond" w:cs="Times New Roman"/>
          <w:color w:val="000000" w:themeColor="text1"/>
        </w:rPr>
        <w:t xml:space="preserve"> </w:t>
      </w:r>
      <w:r w:rsidR="002D01BF">
        <w:rPr>
          <w:rFonts w:ascii="garamond" w:hAnsi="garamond"/>
          <w:color w:val="000000" w:themeColor="text1"/>
        </w:rPr>
        <w:t>The</w:t>
      </w:r>
      <w:r w:rsidR="002D01BF" w:rsidRPr="001C2338">
        <w:rPr>
          <w:rFonts w:ascii="garamond" w:hAnsi="garamond"/>
          <w:color w:val="000000" w:themeColor="text1"/>
        </w:rPr>
        <w:t xml:space="preserve"> architecture </w:t>
      </w:r>
      <w:r w:rsidR="002D01BF">
        <w:rPr>
          <w:rFonts w:ascii="garamond" w:hAnsi="garamond"/>
          <w:color w:val="000000" w:themeColor="text1"/>
        </w:rPr>
        <w:t>wa</w:t>
      </w:r>
      <w:r w:rsidR="002D01BF" w:rsidRPr="001C2338">
        <w:rPr>
          <w:rFonts w:ascii="garamond" w:hAnsi="garamond"/>
          <w:color w:val="000000" w:themeColor="text1"/>
        </w:rPr>
        <w:t xml:space="preserve">s </w:t>
      </w:r>
      <w:r w:rsidR="002D01BF">
        <w:rPr>
          <w:rFonts w:ascii="garamond" w:hAnsi="garamond"/>
          <w:color w:val="000000" w:themeColor="text1"/>
        </w:rPr>
        <w:t xml:space="preserve">more than a reflection of </w:t>
      </w:r>
      <w:r w:rsidR="002D01BF" w:rsidRPr="001C2338">
        <w:rPr>
          <w:rFonts w:ascii="garamond" w:hAnsi="garamond"/>
          <w:color w:val="000000" w:themeColor="text1"/>
        </w:rPr>
        <w:t>the collective’s principles</w:t>
      </w:r>
      <w:r w:rsidR="002D01BF">
        <w:rPr>
          <w:rFonts w:ascii="garamond" w:hAnsi="garamond"/>
          <w:color w:val="000000" w:themeColor="text1"/>
        </w:rPr>
        <w:t>;</w:t>
      </w:r>
      <w:r w:rsidR="002D01BF" w:rsidRPr="001C2338">
        <w:rPr>
          <w:rFonts w:ascii="garamond" w:hAnsi="garamond"/>
          <w:color w:val="000000" w:themeColor="text1"/>
        </w:rPr>
        <w:t xml:space="preserve"> i</w:t>
      </w:r>
      <w:r w:rsidR="002D01BF">
        <w:rPr>
          <w:rFonts w:ascii="garamond" w:hAnsi="garamond"/>
          <w:color w:val="000000" w:themeColor="text1"/>
        </w:rPr>
        <w:t xml:space="preserve">t </w:t>
      </w:r>
      <w:r w:rsidR="00821650">
        <w:rPr>
          <w:rFonts w:ascii="garamond" w:hAnsi="garamond"/>
          <w:color w:val="000000" w:themeColor="text1"/>
        </w:rPr>
        <w:t>produce</w:t>
      </w:r>
      <w:r w:rsidR="000E7793">
        <w:rPr>
          <w:rFonts w:ascii="garamond" w:hAnsi="garamond"/>
          <w:color w:val="000000" w:themeColor="text1"/>
        </w:rPr>
        <w:t>d</w:t>
      </w:r>
      <w:r w:rsidR="00821650">
        <w:rPr>
          <w:rFonts w:ascii="garamond" w:hAnsi="garamond"/>
          <w:color w:val="000000" w:themeColor="text1"/>
        </w:rPr>
        <w:t xml:space="preserve"> an environment which allowed</w:t>
      </w:r>
      <w:r w:rsidR="002D01BF">
        <w:rPr>
          <w:rFonts w:ascii="garamond" w:hAnsi="garamond"/>
          <w:color w:val="000000" w:themeColor="text1"/>
        </w:rPr>
        <w:t xml:space="preserve"> activists to embody them</w:t>
      </w:r>
      <w:r w:rsidR="002D01BF" w:rsidRPr="001C2338">
        <w:rPr>
          <w:rFonts w:ascii="garamond" w:hAnsi="garamond"/>
          <w:color w:val="000000" w:themeColor="text1"/>
        </w:rPr>
        <w:t xml:space="preserve">. </w:t>
      </w:r>
    </w:p>
    <w:p w14:paraId="481304FC" w14:textId="2CED456C" w:rsidR="00381688" w:rsidRDefault="002D01BF" w:rsidP="00D97F84">
      <w:pPr>
        <w:ind w:firstLine="720"/>
        <w:rPr>
          <w:rFonts w:ascii="garamond" w:hAnsi="garamond"/>
          <w:color w:val="000000" w:themeColor="text1"/>
        </w:rPr>
      </w:pPr>
      <w:r>
        <w:rPr>
          <w:rFonts w:ascii="garamond" w:hAnsi="garamond"/>
          <w:color w:val="000000" w:themeColor="text1"/>
        </w:rPr>
        <w:t xml:space="preserve">Once Freedom Square’s </w:t>
      </w:r>
      <w:r w:rsidRPr="001C2338">
        <w:rPr>
          <w:rFonts w:ascii="garamond" w:hAnsi="garamond"/>
          <w:color w:val="000000" w:themeColor="text1"/>
        </w:rPr>
        <w:t>free store ha</w:t>
      </w:r>
      <w:r>
        <w:rPr>
          <w:rFonts w:ascii="garamond" w:hAnsi="garamond"/>
          <w:color w:val="000000" w:themeColor="text1"/>
        </w:rPr>
        <w:t>d</w:t>
      </w:r>
      <w:r w:rsidRPr="001C2338">
        <w:rPr>
          <w:rFonts w:ascii="garamond" w:hAnsi="garamond"/>
          <w:color w:val="000000" w:themeColor="text1"/>
        </w:rPr>
        <w:t xml:space="preserve"> been erected, </w:t>
      </w:r>
      <w:r>
        <w:rPr>
          <w:rFonts w:ascii="garamond" w:hAnsi="garamond"/>
          <w:color w:val="000000" w:themeColor="text1"/>
        </w:rPr>
        <w:t>its presence did not simply</w:t>
      </w:r>
      <w:r w:rsidRPr="001C2338">
        <w:rPr>
          <w:rFonts w:ascii="garamond" w:hAnsi="garamond"/>
          <w:color w:val="000000" w:themeColor="text1"/>
        </w:rPr>
        <w:t xml:space="preserve"> reflect the </w:t>
      </w:r>
      <w:r>
        <w:rPr>
          <w:rFonts w:ascii="garamond" w:hAnsi="garamond"/>
          <w:color w:val="000000" w:themeColor="text1"/>
        </w:rPr>
        <w:t>group’s anti-ca</w:t>
      </w:r>
      <w:r w:rsidR="00A168F4">
        <w:rPr>
          <w:rFonts w:ascii="garamond" w:hAnsi="garamond"/>
          <w:color w:val="000000" w:themeColor="text1"/>
        </w:rPr>
        <w:t>rceral and anti-capitalist</w:t>
      </w:r>
      <w:r>
        <w:rPr>
          <w:rFonts w:ascii="garamond" w:hAnsi="garamond"/>
          <w:color w:val="000000" w:themeColor="text1"/>
        </w:rPr>
        <w:t xml:space="preserve"> values; it</w:t>
      </w:r>
      <w:r w:rsidRPr="001C2338">
        <w:rPr>
          <w:rFonts w:ascii="garamond" w:hAnsi="garamond"/>
          <w:color w:val="000000" w:themeColor="text1"/>
        </w:rPr>
        <w:t xml:space="preserve"> </w:t>
      </w:r>
      <w:r>
        <w:rPr>
          <w:rFonts w:ascii="garamond" w:hAnsi="garamond"/>
          <w:color w:val="000000" w:themeColor="text1"/>
        </w:rPr>
        <w:t xml:space="preserve">also </w:t>
      </w:r>
      <w:r w:rsidRPr="001C2338">
        <w:rPr>
          <w:rFonts w:ascii="garamond" w:hAnsi="garamond"/>
          <w:color w:val="000000" w:themeColor="text1"/>
        </w:rPr>
        <w:t>organize</w:t>
      </w:r>
      <w:r>
        <w:rPr>
          <w:rFonts w:ascii="garamond" w:hAnsi="garamond"/>
          <w:color w:val="000000" w:themeColor="text1"/>
        </w:rPr>
        <w:t>d</w:t>
      </w:r>
      <w:r w:rsidRPr="001C2338">
        <w:rPr>
          <w:rFonts w:ascii="garamond" w:hAnsi="garamond"/>
          <w:color w:val="000000" w:themeColor="text1"/>
        </w:rPr>
        <w:t xml:space="preserve"> the activities of the occupation such that </w:t>
      </w:r>
      <w:r>
        <w:rPr>
          <w:rFonts w:ascii="garamond" w:hAnsi="garamond"/>
          <w:color w:val="000000" w:themeColor="text1"/>
        </w:rPr>
        <w:t xml:space="preserve">it was not </w:t>
      </w:r>
      <w:r w:rsidRPr="001C2338">
        <w:rPr>
          <w:rFonts w:ascii="garamond" w:hAnsi="garamond"/>
          <w:color w:val="000000" w:themeColor="text1"/>
        </w:rPr>
        <w:t xml:space="preserve">solely dissent and disruption </w:t>
      </w:r>
      <w:r>
        <w:rPr>
          <w:rFonts w:ascii="garamond" w:hAnsi="garamond"/>
          <w:color w:val="000000" w:themeColor="text1"/>
        </w:rPr>
        <w:t xml:space="preserve">that characterized the protest, </w:t>
      </w:r>
      <w:r w:rsidRPr="001C2338">
        <w:rPr>
          <w:rFonts w:ascii="garamond" w:hAnsi="garamond"/>
          <w:color w:val="000000" w:themeColor="text1"/>
        </w:rPr>
        <w:t xml:space="preserve">but </w:t>
      </w:r>
      <w:r>
        <w:rPr>
          <w:rFonts w:ascii="garamond" w:hAnsi="garamond"/>
          <w:color w:val="000000" w:themeColor="text1"/>
        </w:rPr>
        <w:t xml:space="preserve">also </w:t>
      </w:r>
      <w:r w:rsidRPr="001C2338">
        <w:rPr>
          <w:rFonts w:ascii="garamond" w:hAnsi="garamond"/>
          <w:color w:val="000000" w:themeColor="text1"/>
        </w:rPr>
        <w:t>provision of basic goods to the broader North Lawndale community. The presence of the free store facilitate</w:t>
      </w:r>
      <w:r>
        <w:rPr>
          <w:rFonts w:ascii="garamond" w:hAnsi="garamond"/>
          <w:color w:val="000000" w:themeColor="text1"/>
        </w:rPr>
        <w:t>d</w:t>
      </w:r>
      <w:r w:rsidRPr="001C2338">
        <w:rPr>
          <w:rFonts w:ascii="garamond" w:hAnsi="garamond"/>
          <w:color w:val="000000" w:themeColor="text1"/>
        </w:rPr>
        <w:t xml:space="preserve"> the activities of donating items and distributing them in turn. Though it </w:t>
      </w:r>
      <w:r>
        <w:rPr>
          <w:rFonts w:ascii="garamond" w:hAnsi="garamond"/>
          <w:color w:val="000000" w:themeColor="text1"/>
        </w:rPr>
        <w:t>was</w:t>
      </w:r>
      <w:r w:rsidRPr="001C2338">
        <w:rPr>
          <w:rFonts w:ascii="garamond" w:hAnsi="garamond"/>
          <w:color w:val="000000" w:themeColor="text1"/>
        </w:rPr>
        <w:t xml:space="preserve"> simply a tent, the tent organized as a store encourage</w:t>
      </w:r>
      <w:r>
        <w:rPr>
          <w:rFonts w:ascii="garamond" w:hAnsi="garamond"/>
          <w:color w:val="000000" w:themeColor="text1"/>
        </w:rPr>
        <w:t>d</w:t>
      </w:r>
      <w:r w:rsidRPr="001C2338">
        <w:rPr>
          <w:rFonts w:ascii="garamond" w:hAnsi="garamond"/>
          <w:color w:val="000000" w:themeColor="text1"/>
        </w:rPr>
        <w:t xml:space="preserve"> participants</w:t>
      </w:r>
      <w:r>
        <w:rPr>
          <w:rFonts w:ascii="garamond" w:hAnsi="garamond"/>
          <w:color w:val="000000" w:themeColor="text1"/>
        </w:rPr>
        <w:t xml:space="preserve"> </w:t>
      </w:r>
      <w:r w:rsidRPr="001C2338">
        <w:rPr>
          <w:rFonts w:ascii="garamond" w:hAnsi="garamond"/>
          <w:color w:val="000000" w:themeColor="text1"/>
        </w:rPr>
        <w:t>to take on either the role of giver or receiver. Th</w:t>
      </w:r>
      <w:r>
        <w:rPr>
          <w:rFonts w:ascii="garamond" w:hAnsi="garamond"/>
          <w:color w:val="000000" w:themeColor="text1"/>
        </w:rPr>
        <w:t xml:space="preserve">e structure of this temporary community </w:t>
      </w:r>
      <w:r w:rsidR="00FD716A">
        <w:rPr>
          <w:rFonts w:ascii="garamond" w:hAnsi="garamond"/>
          <w:color w:val="000000" w:themeColor="text1"/>
        </w:rPr>
        <w:t xml:space="preserve">figured </w:t>
      </w:r>
      <w:r w:rsidRPr="001C2338">
        <w:rPr>
          <w:rFonts w:ascii="garamond" w:hAnsi="garamond"/>
          <w:color w:val="000000" w:themeColor="text1"/>
        </w:rPr>
        <w:t>goods provision through mutual aid</w:t>
      </w:r>
      <w:r w:rsidR="00FD716A">
        <w:rPr>
          <w:rFonts w:ascii="garamond" w:hAnsi="garamond"/>
          <w:color w:val="000000" w:themeColor="text1"/>
        </w:rPr>
        <w:t xml:space="preserve"> as practical and feasible—if on a small scale</w:t>
      </w:r>
      <w:r>
        <w:rPr>
          <w:rFonts w:ascii="garamond" w:hAnsi="garamond"/>
          <w:color w:val="000000" w:themeColor="text1"/>
        </w:rPr>
        <w:t xml:space="preserve">. </w:t>
      </w:r>
      <w:r w:rsidRPr="001C2338">
        <w:rPr>
          <w:rFonts w:ascii="garamond" w:hAnsi="garamond"/>
          <w:color w:val="000000" w:themeColor="text1"/>
        </w:rPr>
        <w:t xml:space="preserve">The structures and symbols embedded in the space </w:t>
      </w:r>
      <w:r>
        <w:rPr>
          <w:rFonts w:ascii="garamond" w:hAnsi="garamond"/>
          <w:color w:val="000000" w:themeColor="text1"/>
        </w:rPr>
        <w:t>narrate and facilitate</w:t>
      </w:r>
      <w:r w:rsidRPr="001C2338">
        <w:rPr>
          <w:rFonts w:ascii="garamond" w:hAnsi="garamond"/>
          <w:color w:val="000000" w:themeColor="text1"/>
        </w:rPr>
        <w:t xml:space="preserve"> the </w:t>
      </w:r>
      <w:r>
        <w:rPr>
          <w:rFonts w:ascii="garamond" w:hAnsi="garamond"/>
          <w:color w:val="000000" w:themeColor="text1"/>
        </w:rPr>
        <w:t xml:space="preserve">proper </w:t>
      </w:r>
      <w:r w:rsidRPr="001C2338">
        <w:rPr>
          <w:rFonts w:ascii="garamond" w:hAnsi="garamond"/>
          <w:color w:val="000000" w:themeColor="text1"/>
        </w:rPr>
        <w:t>relationships between community members. Although the store c</w:t>
      </w:r>
      <w:r>
        <w:rPr>
          <w:rFonts w:ascii="garamond" w:hAnsi="garamond"/>
          <w:color w:val="000000" w:themeColor="text1"/>
        </w:rPr>
        <w:t>ould</w:t>
      </w:r>
      <w:r w:rsidRPr="001C2338">
        <w:rPr>
          <w:rFonts w:ascii="garamond" w:hAnsi="garamond"/>
          <w:color w:val="000000" w:themeColor="text1"/>
        </w:rPr>
        <w:t xml:space="preserve"> be misused, neglected, or destroyed, each of these are activities that require protesters to choose how to engage (or refuse to) with the </w:t>
      </w:r>
      <w:r>
        <w:rPr>
          <w:rFonts w:ascii="garamond" w:hAnsi="garamond"/>
          <w:color w:val="000000" w:themeColor="text1"/>
        </w:rPr>
        <w:t>structure and function of the</w:t>
      </w:r>
      <w:r w:rsidRPr="001C2338">
        <w:rPr>
          <w:rFonts w:ascii="garamond" w:hAnsi="garamond"/>
          <w:color w:val="000000" w:themeColor="text1"/>
        </w:rPr>
        <w:t xml:space="preserve"> free store. </w:t>
      </w:r>
      <w:r w:rsidR="00AA1790">
        <w:rPr>
          <w:rFonts w:ascii="garamond" w:hAnsi="garamond"/>
          <w:color w:val="000000" w:themeColor="text1"/>
        </w:rPr>
        <w:t xml:space="preserve">The flimsiness of the structure did not much matter, as it served its purpose of acting as an organizer of behavior, and a carrier of social relations. </w:t>
      </w:r>
    </w:p>
    <w:p w14:paraId="1682B886" w14:textId="00B41BBA" w:rsidR="009973A0" w:rsidRDefault="009973A0" w:rsidP="00D97F84">
      <w:pPr>
        <w:ind w:firstLine="720"/>
        <w:rPr>
          <w:rFonts w:ascii="garamond" w:hAnsi="garamond"/>
          <w:color w:val="000000" w:themeColor="text1"/>
        </w:rPr>
      </w:pPr>
      <w:r w:rsidRPr="001C2338">
        <w:rPr>
          <w:rFonts w:ascii="garamond" w:hAnsi="garamond"/>
          <w:color w:val="000000" w:themeColor="text1"/>
        </w:rPr>
        <w:t xml:space="preserve">By creating the conditions of alternative relations, attitudes, and practices, organizers create situations in which participants </w:t>
      </w:r>
      <w:r>
        <w:rPr>
          <w:rFonts w:ascii="garamond" w:hAnsi="garamond"/>
          <w:color w:val="000000" w:themeColor="text1"/>
        </w:rPr>
        <w:t>inhabit</w:t>
      </w:r>
      <w:r w:rsidRPr="001C2338">
        <w:rPr>
          <w:rFonts w:ascii="garamond" w:hAnsi="garamond"/>
          <w:color w:val="000000" w:themeColor="text1"/>
        </w:rPr>
        <w:t xml:space="preserve"> these alternative relations, </w:t>
      </w:r>
      <w:r>
        <w:rPr>
          <w:rFonts w:ascii="garamond" w:hAnsi="garamond"/>
          <w:color w:val="000000" w:themeColor="text1"/>
        </w:rPr>
        <w:t xml:space="preserve">making them familiar, and </w:t>
      </w:r>
      <w:r w:rsidRPr="001C2338">
        <w:rPr>
          <w:rFonts w:ascii="garamond" w:hAnsi="garamond"/>
          <w:color w:val="000000" w:themeColor="text1"/>
        </w:rPr>
        <w:t xml:space="preserve">thus stretching the range of practices that are available in the future. </w:t>
      </w:r>
      <w:r>
        <w:rPr>
          <w:rFonts w:ascii="garamond" w:hAnsi="garamond"/>
          <w:color w:val="000000" w:themeColor="text1"/>
        </w:rPr>
        <w:t>As Pierre Bourdieu describes it, our understanding of the future (and thus the possible) is a dynamic between the set of practices and dispositions inculcated through our social experiences in the past—our habitus—and our negotiation of the conditions offered by the present. “</w:t>
      </w:r>
      <w:r w:rsidRPr="00084A28">
        <w:rPr>
          <w:rFonts w:ascii="garamond" w:hAnsi="garamond"/>
          <w:color w:val="000000" w:themeColor="text1"/>
        </w:rPr>
        <w:t xml:space="preserve">In fact, a given agent's practical relation to the future, which his present practice, is defined in the relationship between, on the one hand, his </w:t>
      </w:r>
      <w:r w:rsidRPr="00F229B0">
        <w:rPr>
          <w:rFonts w:ascii="garamond" w:hAnsi="garamond"/>
          <w:i/>
          <w:iCs/>
          <w:color w:val="000000" w:themeColor="text1"/>
        </w:rPr>
        <w:t>habitus</w:t>
      </w:r>
      <w:r w:rsidRPr="00084A28">
        <w:rPr>
          <w:rFonts w:ascii="garamond" w:hAnsi="garamond"/>
          <w:color w:val="000000" w:themeColor="text1"/>
        </w:rPr>
        <w:t xml:space="preserve"> with its temporal structures and dispositions towards the future, constituted in course of a particular relationship to a particular universe of probabilities, and on the other hand a certain state of the chances objectively offered to him by the social world.</w:t>
      </w:r>
      <w:r>
        <w:rPr>
          <w:rFonts w:ascii="garamond" w:hAnsi="garamond"/>
          <w:color w:val="000000" w:themeColor="text1"/>
        </w:rPr>
        <w:t>”</w:t>
      </w:r>
      <w:r w:rsidRPr="004956A5">
        <w:rPr>
          <w:rStyle w:val="FootnoteReference"/>
          <w:rFonts w:ascii="garamond" w:hAnsi="garamond"/>
          <w:color w:val="000000" w:themeColor="text1"/>
        </w:rPr>
        <w:t xml:space="preserve"> </w:t>
      </w:r>
      <w:r>
        <w:rPr>
          <w:rStyle w:val="FootnoteReference"/>
          <w:rFonts w:ascii="garamond" w:hAnsi="garamond"/>
          <w:color w:val="000000" w:themeColor="text1"/>
        </w:rPr>
        <w:footnoteReference w:id="57"/>
      </w:r>
      <w:r>
        <w:rPr>
          <w:rFonts w:ascii="garamond" w:hAnsi="garamond"/>
          <w:color w:val="000000" w:themeColor="text1"/>
        </w:rPr>
        <w:t xml:space="preserve"> The resources of the present, interpreted through our cultural concepts, compose the range of possible actions and feasible projects we pursue. In other words, the possibilities that the environment presents to us help us interpret the </w:t>
      </w:r>
      <w:r w:rsidR="00A76BC4">
        <w:rPr>
          <w:rFonts w:ascii="garamond" w:hAnsi="garamond"/>
          <w:color w:val="000000" w:themeColor="text1"/>
        </w:rPr>
        <w:t>social world</w:t>
      </w:r>
      <w:r>
        <w:rPr>
          <w:rFonts w:ascii="garamond" w:hAnsi="garamond"/>
          <w:color w:val="000000" w:themeColor="text1"/>
        </w:rPr>
        <w:t xml:space="preserve">. </w:t>
      </w:r>
    </w:p>
    <w:p w14:paraId="1BCECBCE" w14:textId="309FBF17" w:rsidR="009973A0" w:rsidRDefault="00381688" w:rsidP="009973A0">
      <w:pPr>
        <w:ind w:firstLine="720"/>
        <w:rPr>
          <w:rFonts w:ascii="garamond" w:hAnsi="garamond"/>
          <w:color w:val="000000" w:themeColor="text1"/>
        </w:rPr>
      </w:pPr>
      <w:r>
        <w:rPr>
          <w:rFonts w:ascii="garamond" w:hAnsi="garamond"/>
          <w:color w:val="000000" w:themeColor="text1"/>
        </w:rPr>
        <w:t xml:space="preserve">These protest spaces shape the dispositions of activists toward each other and toward their political goals by creating environments in which they must act out new activities and new modes of relating. </w:t>
      </w:r>
      <w:r w:rsidRPr="001C2338">
        <w:rPr>
          <w:rFonts w:ascii="garamond" w:hAnsi="garamond"/>
          <w:color w:val="000000" w:themeColor="text1"/>
        </w:rPr>
        <w:t xml:space="preserve">Experimental world-making within these protest occupations is a way of expanding the diversity of practices that are possible—those which seem plausible—for the participants within them. </w:t>
      </w:r>
      <w:r>
        <w:rPr>
          <w:rFonts w:ascii="garamond" w:hAnsi="garamond"/>
          <w:color w:val="000000" w:themeColor="text1"/>
        </w:rPr>
        <w:t>Although living in a society in which the police have been abolished is difficult to imagine, the Freedom Square guided participants through living around mutual aid</w:t>
      </w:r>
      <w:r w:rsidR="00FA26D2">
        <w:rPr>
          <w:rFonts w:ascii="garamond" w:hAnsi="garamond"/>
          <w:color w:val="000000" w:themeColor="text1"/>
        </w:rPr>
        <w:t xml:space="preserve"> kinesthetically</w:t>
      </w:r>
      <w:r>
        <w:rPr>
          <w:rFonts w:ascii="garamond" w:hAnsi="garamond"/>
          <w:color w:val="000000" w:themeColor="text1"/>
        </w:rPr>
        <w:t>, turning those activities into habits, and making this approach to public safety seem a little more familiar.</w:t>
      </w:r>
      <w:r w:rsidRPr="00381688">
        <w:rPr>
          <w:rFonts w:ascii="garamond" w:hAnsi="garamond"/>
          <w:color w:val="000000" w:themeColor="text1"/>
        </w:rPr>
        <w:t xml:space="preserve"> </w:t>
      </w:r>
      <w:r w:rsidRPr="001C2338">
        <w:rPr>
          <w:rFonts w:ascii="garamond" w:hAnsi="garamond"/>
          <w:color w:val="000000" w:themeColor="text1"/>
        </w:rPr>
        <w:t xml:space="preserve">Michael Billig calls the process enhabitation: when patterns of activity become habits, and </w:t>
      </w:r>
      <w:r>
        <w:rPr>
          <w:rFonts w:ascii="garamond" w:hAnsi="garamond"/>
          <w:color w:val="000000" w:themeColor="text1"/>
        </w:rPr>
        <w:t>the structures</w:t>
      </w:r>
      <w:r w:rsidRPr="001C2338">
        <w:rPr>
          <w:rFonts w:ascii="garamond" w:hAnsi="garamond"/>
          <w:color w:val="000000" w:themeColor="text1"/>
        </w:rPr>
        <w:t xml:space="preserve"> which shaped the activity in the first place becomes naturalized as part of the social world.</w:t>
      </w:r>
      <w:r w:rsidRPr="001C2338">
        <w:rPr>
          <w:rStyle w:val="FootnoteReference"/>
          <w:rFonts w:ascii="garamond" w:hAnsi="garamond"/>
          <w:color w:val="000000" w:themeColor="text1"/>
        </w:rPr>
        <w:footnoteReference w:id="58"/>
      </w:r>
      <w:r w:rsidRPr="001C2338">
        <w:rPr>
          <w:rFonts w:ascii="garamond" w:hAnsi="garamond"/>
          <w:color w:val="000000" w:themeColor="text1"/>
        </w:rPr>
        <w:t xml:space="preserve"> </w:t>
      </w:r>
    </w:p>
    <w:p w14:paraId="1A8BED94" w14:textId="2E8E8767" w:rsidR="00AA70E2" w:rsidRDefault="009B5B97" w:rsidP="0038167B">
      <w:pPr>
        <w:ind w:firstLine="720"/>
        <w:rPr>
          <w:rFonts w:ascii="garamond" w:hAnsi="garamond"/>
          <w:color w:val="000000" w:themeColor="text1"/>
        </w:rPr>
      </w:pPr>
      <w:r>
        <w:rPr>
          <w:rFonts w:ascii="garamond" w:hAnsi="garamond"/>
          <w:color w:val="000000" w:themeColor="text1"/>
        </w:rPr>
        <w:t xml:space="preserve">Freedom Square used space-making to denaturalize the extant built environment, and constructed ad hoc architecture and atmosphere to cultivate new forms of behavior and relationship between participants. By crafting the spatial conditions, the activists orchestrated prefigurative performances of what alternative relationship to public safety. Denaturalizing and embodied performance both target the participants’ experience of the present, attempting to shift their understanding of political possibility. Experimentation and political imagination are enmeshed. </w:t>
      </w:r>
      <w:r w:rsidR="00D7102C" w:rsidRPr="001C2338">
        <w:rPr>
          <w:rFonts w:ascii="garamond" w:hAnsi="garamond"/>
          <w:color w:val="000000" w:themeColor="text1"/>
        </w:rPr>
        <w:t xml:space="preserve">“People have to push to create a space where we imagine a world without police,” said Trina </w:t>
      </w:r>
      <w:r w:rsidR="00D7102C" w:rsidRPr="001C2338">
        <w:rPr>
          <w:rFonts w:ascii="garamond" w:hAnsi="garamond"/>
          <w:color w:val="000000" w:themeColor="text1"/>
        </w:rPr>
        <w:lastRenderedPageBreak/>
        <w:t>Reynolds-Tyler, describing Freedom Square. “</w:t>
      </w:r>
      <w:r w:rsidR="00D7102C">
        <w:rPr>
          <w:rFonts w:ascii="garamond" w:hAnsi="garamond"/>
          <w:color w:val="000000" w:themeColor="text1"/>
        </w:rPr>
        <w:t>W</w:t>
      </w:r>
      <w:r w:rsidR="00D7102C" w:rsidRPr="001C2338">
        <w:rPr>
          <w:rFonts w:ascii="garamond" w:hAnsi="garamond"/>
          <w:color w:val="000000" w:themeColor="text1"/>
        </w:rPr>
        <w:t>hat mechanism, what kinds of structures exist so that we can keep people safe without thinking that we need to put them in a cage</w:t>
      </w:r>
      <w:r w:rsidR="00D7102C">
        <w:rPr>
          <w:rFonts w:ascii="garamond" w:hAnsi="garamond"/>
          <w:color w:val="000000" w:themeColor="text1"/>
        </w:rPr>
        <w:t>?</w:t>
      </w:r>
      <w:r w:rsidR="00D7102C" w:rsidRPr="001C2338">
        <w:rPr>
          <w:rFonts w:ascii="garamond" w:hAnsi="garamond"/>
          <w:color w:val="000000" w:themeColor="text1"/>
        </w:rPr>
        <w:t>”</w:t>
      </w:r>
      <w:r w:rsidR="00D7102C" w:rsidRPr="001C2338">
        <w:rPr>
          <w:rStyle w:val="FootnoteReference"/>
          <w:rFonts w:ascii="garamond" w:hAnsi="garamond"/>
          <w:color w:val="000000" w:themeColor="text1"/>
        </w:rPr>
        <w:footnoteReference w:id="59"/>
      </w:r>
      <w:r w:rsidR="00D7102C" w:rsidRPr="001C2338">
        <w:rPr>
          <w:rFonts w:ascii="garamond" w:hAnsi="garamond"/>
          <w:color w:val="000000" w:themeColor="text1"/>
        </w:rPr>
        <w:t xml:space="preserve"> </w:t>
      </w:r>
    </w:p>
    <w:p w14:paraId="49D453CD" w14:textId="77777777" w:rsidR="00C81ED6" w:rsidRPr="007B65B2" w:rsidRDefault="00C81ED6" w:rsidP="00C20401">
      <w:pPr>
        <w:rPr>
          <w:rFonts w:ascii="garamond" w:hAnsi="garamond"/>
          <w:i/>
          <w:iCs/>
        </w:rPr>
      </w:pPr>
    </w:p>
    <w:p w14:paraId="545D2107" w14:textId="19B6AC69" w:rsidR="003D359A" w:rsidRDefault="003D359A" w:rsidP="00C20401">
      <w:pPr>
        <w:rPr>
          <w:rFonts w:ascii="garamond" w:hAnsi="garamond"/>
          <w:i/>
          <w:iCs/>
        </w:rPr>
      </w:pPr>
      <w:r w:rsidRPr="003D359A">
        <w:rPr>
          <w:rFonts w:ascii="garamond" w:hAnsi="garamond"/>
          <w:i/>
          <w:iCs/>
        </w:rPr>
        <w:t>Healing Village</w:t>
      </w:r>
    </w:p>
    <w:p w14:paraId="30BD8CAE" w14:textId="3A15DC93" w:rsidR="001250E6" w:rsidRPr="003035CC" w:rsidRDefault="00AD4D0B" w:rsidP="001250E6">
      <w:pPr>
        <w:ind w:firstLine="720"/>
        <w:rPr>
          <w:rFonts w:ascii="garamond" w:eastAsia="Times New Roman" w:hAnsi="garamond" w:cs="Times New Roman"/>
          <w:color w:val="000000" w:themeColor="text1"/>
        </w:rPr>
      </w:pPr>
      <w:r>
        <w:rPr>
          <w:rFonts w:ascii="garamond" w:eastAsia="Times New Roman" w:hAnsi="garamond" w:cs="Times New Roman"/>
          <w:color w:val="000000" w:themeColor="text1"/>
        </w:rPr>
        <w:t xml:space="preserve">The Healing Village occupation offers an example of the </w:t>
      </w:r>
      <w:r w:rsidR="007B7F66">
        <w:rPr>
          <w:rFonts w:ascii="garamond" w:eastAsia="Times New Roman" w:hAnsi="garamond" w:cs="Times New Roman"/>
          <w:color w:val="000000" w:themeColor="text1"/>
        </w:rPr>
        <w:t>specific</w:t>
      </w:r>
      <w:r>
        <w:rPr>
          <w:rFonts w:ascii="garamond" w:eastAsia="Times New Roman" w:hAnsi="garamond" w:cs="Times New Roman"/>
          <w:color w:val="000000" w:themeColor="text1"/>
        </w:rPr>
        <w:t xml:space="preserve"> role that space</w:t>
      </w:r>
      <w:r w:rsidR="00A168F4">
        <w:rPr>
          <w:rFonts w:ascii="garamond" w:eastAsia="Times New Roman" w:hAnsi="garamond" w:cs="Times New Roman"/>
          <w:color w:val="000000" w:themeColor="text1"/>
        </w:rPr>
        <w:t>-</w:t>
      </w:r>
      <w:r>
        <w:rPr>
          <w:rFonts w:ascii="garamond" w:eastAsia="Times New Roman" w:hAnsi="garamond" w:cs="Times New Roman"/>
          <w:color w:val="000000" w:themeColor="text1"/>
        </w:rPr>
        <w:t xml:space="preserve">making plays in modeling and experimenting with political commitments. </w:t>
      </w:r>
      <w:r w:rsidR="007B7F66">
        <w:rPr>
          <w:rFonts w:ascii="garamond" w:eastAsia="Times New Roman" w:hAnsi="garamond" w:cs="Times New Roman"/>
          <w:color w:val="000000" w:themeColor="text1"/>
        </w:rPr>
        <w:t xml:space="preserve">In other words, activists created a prefigurative space. </w:t>
      </w:r>
      <w:r w:rsidR="001250E6">
        <w:rPr>
          <w:rFonts w:ascii="garamond" w:eastAsia="Times New Roman" w:hAnsi="garamond" w:cs="Times New Roman"/>
          <w:color w:val="000000" w:themeColor="text1"/>
        </w:rPr>
        <w:t xml:space="preserve">The Healing Village </w:t>
      </w:r>
      <w:r w:rsidR="00364E3B">
        <w:rPr>
          <w:rFonts w:ascii="garamond" w:eastAsia="Times New Roman" w:hAnsi="garamond" w:cs="Times New Roman"/>
          <w:color w:val="000000" w:themeColor="text1"/>
        </w:rPr>
        <w:t>did this specifically by</w:t>
      </w:r>
      <w:r w:rsidR="001250E6">
        <w:rPr>
          <w:rFonts w:ascii="garamond" w:eastAsia="Times New Roman" w:hAnsi="garamond" w:cs="Times New Roman"/>
          <w:color w:val="000000" w:themeColor="text1"/>
        </w:rPr>
        <w:t xml:space="preserve"> orchestrating embodied experience in political alternatives, building a live archive of political experimentation, and through the built environment’s evidentiary power. </w:t>
      </w:r>
    </w:p>
    <w:p w14:paraId="3A58B61F" w14:textId="72CAB2B8" w:rsidR="00995123" w:rsidRPr="00C16EB8" w:rsidRDefault="00995123" w:rsidP="00C16EB8">
      <w:pPr>
        <w:ind w:firstLine="720"/>
        <w:rPr>
          <w:rFonts w:ascii="garamond" w:eastAsia="Times New Roman" w:hAnsi="garamond" w:cs="Times New Roman"/>
          <w:color w:val="000000" w:themeColor="text1"/>
        </w:rPr>
      </w:pPr>
      <w:r>
        <w:rPr>
          <w:rFonts w:ascii="garamond" w:eastAsia="Times New Roman" w:hAnsi="garamond" w:cs="Times New Roman"/>
          <w:color w:val="000000" w:themeColor="text1"/>
        </w:rPr>
        <w:t>In t</w:t>
      </w:r>
      <w:r w:rsidRPr="001C2338">
        <w:rPr>
          <w:rFonts w:ascii="garamond" w:eastAsia="Times New Roman" w:hAnsi="garamond" w:cs="Times New Roman"/>
          <w:color w:val="000000" w:themeColor="text1"/>
        </w:rPr>
        <w:t>he summer of 2018,</w:t>
      </w:r>
      <w:r>
        <w:rPr>
          <w:rFonts w:ascii="garamond" w:eastAsia="Times New Roman" w:hAnsi="garamond" w:cs="Times New Roman"/>
          <w:color w:val="000000" w:themeColor="text1"/>
        </w:rPr>
        <w:t xml:space="preserve"> mental health </w:t>
      </w:r>
      <w:r>
        <w:rPr>
          <w:rFonts w:ascii="garamond" w:hAnsi="garamond"/>
          <w:color w:val="000000" w:themeColor="text1"/>
        </w:rPr>
        <w:t xml:space="preserve">activists erected </w:t>
      </w:r>
      <w:r w:rsidRPr="001C2338">
        <w:rPr>
          <w:rFonts w:ascii="garamond" w:hAnsi="garamond"/>
          <w:color w:val="000000" w:themeColor="text1"/>
        </w:rPr>
        <w:t xml:space="preserve">a cluster of tents and structures </w:t>
      </w:r>
      <w:r w:rsidR="00C16EB8" w:rsidRPr="001C2338">
        <w:rPr>
          <w:rFonts w:ascii="garamond" w:eastAsia="Times New Roman" w:hAnsi="garamond" w:cs="Times New Roman"/>
          <w:color w:val="000000" w:themeColor="text1"/>
        </w:rPr>
        <w:t>into an empty lot in Woodlawn, on Chicago’s South Side</w:t>
      </w:r>
      <w:r w:rsidR="00C16EB8">
        <w:rPr>
          <w:rFonts w:ascii="garamond" w:hAnsi="garamond"/>
          <w:color w:val="000000" w:themeColor="text1"/>
        </w:rPr>
        <w:t xml:space="preserve">. They were there </w:t>
      </w:r>
      <w:r w:rsidRPr="001C2338">
        <w:rPr>
          <w:rFonts w:ascii="garamond" w:hAnsi="garamond"/>
          <w:color w:val="000000" w:themeColor="text1"/>
        </w:rPr>
        <w:t xml:space="preserve">to protest the city’s failure to invest in mental health resources for the </w:t>
      </w:r>
      <w:r>
        <w:rPr>
          <w:rFonts w:ascii="garamond" w:hAnsi="garamond"/>
          <w:color w:val="000000" w:themeColor="text1"/>
        </w:rPr>
        <w:t xml:space="preserve">surrounding </w:t>
      </w:r>
      <w:r w:rsidRPr="001C2338">
        <w:rPr>
          <w:rFonts w:ascii="garamond" w:hAnsi="garamond"/>
          <w:color w:val="000000" w:themeColor="text1"/>
        </w:rPr>
        <w:t xml:space="preserve">community. </w:t>
      </w:r>
      <w:r w:rsidRPr="001C2338">
        <w:rPr>
          <w:rFonts w:ascii="garamond" w:eastAsia="Times New Roman" w:hAnsi="garamond" w:cs="Times New Roman"/>
          <w:color w:val="000000" w:themeColor="text1"/>
        </w:rPr>
        <w:t>The</w:t>
      </w:r>
      <w:r w:rsidR="00C16EB8">
        <w:rPr>
          <w:rFonts w:ascii="garamond" w:eastAsia="Times New Roman" w:hAnsi="garamond" w:cs="Times New Roman"/>
          <w:color w:val="000000" w:themeColor="text1"/>
        </w:rPr>
        <w:t xml:space="preserve"> protesters</w:t>
      </w:r>
      <w:r w:rsidRPr="001C2338">
        <w:rPr>
          <w:rFonts w:ascii="garamond" w:eastAsia="Times New Roman" w:hAnsi="garamond" w:cs="Times New Roman"/>
          <w:color w:val="000000" w:themeColor="text1"/>
        </w:rPr>
        <w:t xml:space="preserve"> built what they called the Healing Village</w:t>
      </w:r>
      <w:r w:rsidR="00DF2375">
        <w:rPr>
          <w:rFonts w:ascii="garamond" w:eastAsia="Times New Roman" w:hAnsi="garamond" w:cs="Times New Roman"/>
          <w:color w:val="000000" w:themeColor="text1"/>
        </w:rPr>
        <w:t>.</w:t>
      </w:r>
      <w:r w:rsidRPr="001C2338">
        <w:rPr>
          <w:rFonts w:ascii="garamond" w:eastAsia="Times New Roman" w:hAnsi="garamond" w:cs="Times New Roman"/>
          <w:color w:val="000000" w:themeColor="text1"/>
        </w:rPr>
        <w:t xml:space="preserve"> </w:t>
      </w:r>
      <w:r w:rsidR="00DF2375">
        <w:rPr>
          <w:rFonts w:ascii="garamond" w:eastAsia="Times New Roman" w:hAnsi="garamond" w:cs="Times New Roman"/>
          <w:color w:val="000000" w:themeColor="text1"/>
        </w:rPr>
        <w:t>F</w:t>
      </w:r>
      <w:r>
        <w:rPr>
          <w:rFonts w:ascii="garamond" w:eastAsia="Times New Roman" w:hAnsi="garamond" w:cs="Times New Roman"/>
          <w:color w:val="000000" w:themeColor="text1"/>
        </w:rPr>
        <w:t xml:space="preserve">or the activists, </w:t>
      </w:r>
      <w:r w:rsidR="00DF2375">
        <w:rPr>
          <w:rFonts w:ascii="garamond" w:eastAsia="Times New Roman" w:hAnsi="garamond" w:cs="Times New Roman"/>
          <w:color w:val="000000" w:themeColor="text1"/>
        </w:rPr>
        <w:t xml:space="preserve">community </w:t>
      </w:r>
      <w:r w:rsidRPr="001C2338">
        <w:rPr>
          <w:rFonts w:ascii="garamond" w:eastAsia="Times New Roman" w:hAnsi="garamond" w:cs="Times New Roman"/>
          <w:color w:val="000000" w:themeColor="text1"/>
        </w:rPr>
        <w:t xml:space="preserve">healing itself was </w:t>
      </w:r>
      <w:r>
        <w:rPr>
          <w:rFonts w:ascii="garamond" w:eastAsia="Times New Roman" w:hAnsi="garamond" w:cs="Times New Roman"/>
          <w:color w:val="000000" w:themeColor="text1"/>
        </w:rPr>
        <w:t xml:space="preserve">considered </w:t>
      </w:r>
      <w:r w:rsidRPr="001C2338">
        <w:rPr>
          <w:rFonts w:ascii="garamond" w:eastAsia="Times New Roman" w:hAnsi="garamond" w:cs="Times New Roman"/>
          <w:color w:val="000000" w:themeColor="text1"/>
        </w:rPr>
        <w:t>“a radical act of resistance.”</w:t>
      </w:r>
      <w:r w:rsidRPr="001C2338">
        <w:rPr>
          <w:rStyle w:val="FootnoteReference"/>
          <w:rFonts w:ascii="garamond" w:eastAsia="Times New Roman" w:hAnsi="garamond" w:cs="Times New Roman"/>
          <w:color w:val="000000" w:themeColor="text1"/>
        </w:rPr>
        <w:footnoteReference w:id="60"/>
      </w:r>
      <w:r w:rsidRPr="001C2338">
        <w:rPr>
          <w:rFonts w:ascii="garamond" w:eastAsia="Times New Roman" w:hAnsi="garamond" w:cs="Times New Roman"/>
          <w:color w:val="000000" w:themeColor="text1"/>
        </w:rPr>
        <w:t xml:space="preserve"> The previous years had seen sweeping disinvestment in South and West Chicago communities. Mayor Rahm Emanuel </w:t>
      </w:r>
      <w:r>
        <w:rPr>
          <w:rFonts w:ascii="garamond" w:eastAsia="Times New Roman" w:hAnsi="garamond" w:cs="Times New Roman"/>
          <w:color w:val="000000" w:themeColor="text1"/>
        </w:rPr>
        <w:t xml:space="preserve">had </w:t>
      </w:r>
      <w:r w:rsidRPr="001C2338">
        <w:rPr>
          <w:rFonts w:ascii="garamond" w:eastAsia="Times New Roman" w:hAnsi="garamond" w:cs="Times New Roman"/>
          <w:color w:val="000000" w:themeColor="text1"/>
        </w:rPr>
        <w:t xml:space="preserve">closed half of Chicago’s twelve mental health clinics, including the single one serving the Woodlawn neighborhood. In response to these closures and ongoing disinvestment, </w:t>
      </w:r>
      <w:r>
        <w:rPr>
          <w:rFonts w:ascii="garamond" w:eastAsia="Times New Roman" w:hAnsi="garamond" w:cs="Times New Roman"/>
          <w:color w:val="000000" w:themeColor="text1"/>
        </w:rPr>
        <w:t xml:space="preserve">community members and </w:t>
      </w:r>
      <w:r w:rsidRPr="001C2338">
        <w:rPr>
          <w:rFonts w:ascii="garamond" w:eastAsia="Times New Roman" w:hAnsi="garamond" w:cs="Times New Roman"/>
          <w:color w:val="000000" w:themeColor="text1"/>
        </w:rPr>
        <w:t xml:space="preserve">several activist organizations—including Southside Together Organizing for Power (STOP) and Black Lives Matter (BLM) Chicago—organized an occupation of the empty lot that faced Woodlawn’s shuttered mental health clinic. The Healing Village occupation was not designed to </w:t>
      </w:r>
      <w:r w:rsidR="001754F7">
        <w:rPr>
          <w:rFonts w:ascii="garamond" w:eastAsia="Times New Roman" w:hAnsi="garamond" w:cs="Times New Roman"/>
          <w:color w:val="000000" w:themeColor="text1"/>
        </w:rPr>
        <w:t>only</w:t>
      </w:r>
      <w:r w:rsidRPr="001C2338">
        <w:rPr>
          <w:rFonts w:ascii="garamond" w:eastAsia="Times New Roman" w:hAnsi="garamond" w:cs="Times New Roman"/>
          <w:color w:val="000000" w:themeColor="text1"/>
        </w:rPr>
        <w:t xml:space="preserve"> occupy space in order to demand policy change—although policy change around mental health provision and alternatives to policing were </w:t>
      </w:r>
      <w:r w:rsidR="001754F7">
        <w:rPr>
          <w:rFonts w:ascii="garamond" w:eastAsia="Times New Roman" w:hAnsi="garamond" w:cs="Times New Roman"/>
          <w:color w:val="000000" w:themeColor="text1"/>
        </w:rPr>
        <w:t>certainly central</w:t>
      </w:r>
      <w:r w:rsidRPr="001C2338">
        <w:rPr>
          <w:rFonts w:ascii="garamond" w:eastAsia="Times New Roman" w:hAnsi="garamond" w:cs="Times New Roman"/>
          <w:color w:val="000000" w:themeColor="text1"/>
        </w:rPr>
        <w:t xml:space="preserve"> goals. Beyond demanding </w:t>
      </w:r>
      <w:r>
        <w:rPr>
          <w:rFonts w:ascii="garamond" w:eastAsia="Times New Roman" w:hAnsi="garamond" w:cs="Times New Roman"/>
          <w:color w:val="000000" w:themeColor="text1"/>
        </w:rPr>
        <w:t>action</w:t>
      </w:r>
      <w:r w:rsidRPr="001C2338">
        <w:rPr>
          <w:rFonts w:ascii="garamond" w:eastAsia="Times New Roman" w:hAnsi="garamond" w:cs="Times New Roman"/>
          <w:color w:val="000000" w:themeColor="text1"/>
        </w:rPr>
        <w:t xml:space="preserve"> from elected officials, the Healing Village </w:t>
      </w:r>
      <w:r>
        <w:rPr>
          <w:rFonts w:ascii="garamond" w:eastAsia="Times New Roman" w:hAnsi="garamond" w:cs="Times New Roman"/>
          <w:color w:val="000000" w:themeColor="text1"/>
        </w:rPr>
        <w:t xml:space="preserve">stood as a </w:t>
      </w:r>
      <w:r w:rsidR="007A7321">
        <w:rPr>
          <w:rFonts w:ascii="garamond" w:eastAsia="Times New Roman" w:hAnsi="garamond" w:cs="Times New Roman"/>
          <w:color w:val="000000" w:themeColor="text1"/>
        </w:rPr>
        <w:t>living</w:t>
      </w:r>
      <w:r>
        <w:rPr>
          <w:rFonts w:ascii="garamond" w:eastAsia="Times New Roman" w:hAnsi="garamond" w:cs="Times New Roman"/>
          <w:color w:val="000000" w:themeColor="text1"/>
        </w:rPr>
        <w:t xml:space="preserve"> model </w:t>
      </w:r>
      <w:r w:rsidR="007A7321">
        <w:rPr>
          <w:rFonts w:ascii="garamond" w:eastAsia="Times New Roman" w:hAnsi="garamond" w:cs="Times New Roman"/>
          <w:color w:val="000000" w:themeColor="text1"/>
        </w:rPr>
        <w:t xml:space="preserve">of mental health care that stood in contrast </w:t>
      </w:r>
      <w:r>
        <w:rPr>
          <w:rFonts w:ascii="garamond" w:eastAsia="Times New Roman" w:hAnsi="garamond" w:cs="Times New Roman"/>
          <w:color w:val="000000" w:themeColor="text1"/>
        </w:rPr>
        <w:t>to city services lost or long absent</w:t>
      </w:r>
      <w:r w:rsidR="007A7321">
        <w:rPr>
          <w:rFonts w:ascii="garamond" w:eastAsia="Times New Roman" w:hAnsi="garamond" w:cs="Times New Roman"/>
          <w:color w:val="000000" w:themeColor="text1"/>
        </w:rPr>
        <w:t xml:space="preserve">. </w:t>
      </w:r>
    </w:p>
    <w:p w14:paraId="7BA332A0" w14:textId="2CCEE596" w:rsidR="00955A96" w:rsidRDefault="002D01BF" w:rsidP="002D01BF">
      <w:pPr>
        <w:ind w:firstLine="720"/>
        <w:rPr>
          <w:rFonts w:ascii="garamond" w:eastAsia="Times New Roman" w:hAnsi="garamond" w:cs="Times New Roman"/>
          <w:color w:val="000000" w:themeColor="text1"/>
        </w:rPr>
      </w:pPr>
      <w:r>
        <w:rPr>
          <w:rFonts w:ascii="garamond" w:hAnsi="garamond"/>
          <w:color w:val="000000" w:themeColor="text1"/>
        </w:rPr>
        <w:t>The protest spaces offered a concrete vision of alternative political arrangements.</w:t>
      </w:r>
      <w:r w:rsidRPr="001C2338">
        <w:rPr>
          <w:rFonts w:ascii="garamond" w:hAnsi="garamond"/>
          <w:color w:val="000000" w:themeColor="text1"/>
        </w:rPr>
        <w:t xml:space="preserve"> The Healing Village styled itself as a protest against Chicago’s failure to fund mental health in </w:t>
      </w:r>
      <w:r>
        <w:rPr>
          <w:rFonts w:ascii="garamond" w:hAnsi="garamond"/>
          <w:color w:val="000000" w:themeColor="text1"/>
        </w:rPr>
        <w:t>Southside</w:t>
      </w:r>
      <w:r w:rsidRPr="001C2338">
        <w:rPr>
          <w:rFonts w:ascii="garamond" w:hAnsi="garamond"/>
          <w:color w:val="000000" w:themeColor="text1"/>
        </w:rPr>
        <w:t xml:space="preserve"> communities; but it also saw itself as </w:t>
      </w:r>
      <w:r>
        <w:rPr>
          <w:rFonts w:ascii="garamond" w:hAnsi="garamond"/>
          <w:color w:val="000000" w:themeColor="text1"/>
        </w:rPr>
        <w:t xml:space="preserve">building </w:t>
      </w:r>
      <w:r w:rsidRPr="001C2338">
        <w:rPr>
          <w:rFonts w:ascii="garamond" w:hAnsi="garamond"/>
          <w:color w:val="000000" w:themeColor="text1"/>
        </w:rPr>
        <w:t>a space of healing</w:t>
      </w:r>
      <w:r>
        <w:rPr>
          <w:rFonts w:ascii="garamond" w:hAnsi="garamond"/>
          <w:color w:val="000000" w:themeColor="text1"/>
        </w:rPr>
        <w:t xml:space="preserve"> </w:t>
      </w:r>
      <w:r w:rsidRPr="001C2338">
        <w:rPr>
          <w:rFonts w:ascii="garamond" w:hAnsi="garamond"/>
          <w:color w:val="000000" w:themeColor="text1"/>
        </w:rPr>
        <w:t xml:space="preserve">where mental health resources and service provision were radically reorganized. </w:t>
      </w:r>
      <w:r w:rsidRPr="001C2338">
        <w:rPr>
          <w:rFonts w:ascii="garamond" w:eastAsia="Times New Roman" w:hAnsi="garamond" w:cs="Times New Roman"/>
          <w:color w:val="000000" w:themeColor="text1"/>
        </w:rPr>
        <w:t xml:space="preserve">Volunteers erected tents, installed flower and vegetable beds, and built a small wooden building to provide private space for mental health </w:t>
      </w:r>
      <w:r w:rsidR="001754F7">
        <w:rPr>
          <w:rFonts w:ascii="garamond" w:eastAsia="Times New Roman" w:hAnsi="garamond" w:cs="Times New Roman"/>
          <w:color w:val="000000" w:themeColor="text1"/>
        </w:rPr>
        <w:t>consultations</w:t>
      </w:r>
      <w:r w:rsidRPr="001C2338">
        <w:rPr>
          <w:rFonts w:ascii="garamond" w:eastAsia="Times New Roman" w:hAnsi="garamond" w:cs="Times New Roman"/>
          <w:color w:val="000000" w:themeColor="text1"/>
        </w:rPr>
        <w:t xml:space="preserve">. </w:t>
      </w:r>
      <w:r w:rsidR="00955A96" w:rsidRPr="001C2338">
        <w:rPr>
          <w:rFonts w:ascii="garamond" w:eastAsia="Times New Roman" w:hAnsi="garamond" w:cs="Times New Roman"/>
          <w:color w:val="000000" w:themeColor="text1"/>
        </w:rPr>
        <w:t xml:space="preserve">Over several weeks, the </w:t>
      </w:r>
      <w:r w:rsidR="001754F7">
        <w:rPr>
          <w:rFonts w:ascii="garamond" w:eastAsia="Times New Roman" w:hAnsi="garamond" w:cs="Times New Roman"/>
          <w:color w:val="000000" w:themeColor="text1"/>
        </w:rPr>
        <w:t>occupations</w:t>
      </w:r>
      <w:r w:rsidR="00955A96" w:rsidRPr="001C2338">
        <w:rPr>
          <w:rFonts w:ascii="garamond" w:eastAsia="Times New Roman" w:hAnsi="garamond" w:cs="Times New Roman"/>
          <w:color w:val="000000" w:themeColor="text1"/>
        </w:rPr>
        <w:t xml:space="preserve"> served as </w:t>
      </w:r>
      <w:r w:rsidR="001754F7">
        <w:rPr>
          <w:rFonts w:ascii="garamond" w:eastAsia="Times New Roman" w:hAnsi="garamond" w:cs="Times New Roman"/>
          <w:color w:val="000000" w:themeColor="text1"/>
        </w:rPr>
        <w:t xml:space="preserve">a </w:t>
      </w:r>
      <w:r w:rsidR="00955A96" w:rsidRPr="001C2338">
        <w:rPr>
          <w:rFonts w:ascii="garamond" w:eastAsia="Times New Roman" w:hAnsi="garamond" w:cs="Times New Roman"/>
          <w:color w:val="000000" w:themeColor="text1"/>
        </w:rPr>
        <w:t>hub for a range of volunteer service providers, including</w:t>
      </w:r>
      <w:r w:rsidR="00955A96">
        <w:rPr>
          <w:rFonts w:ascii="garamond" w:eastAsia="Times New Roman" w:hAnsi="garamond" w:cs="Times New Roman"/>
          <w:color w:val="000000" w:themeColor="text1"/>
        </w:rPr>
        <w:t xml:space="preserve"> a</w:t>
      </w:r>
      <w:r w:rsidR="00955A96" w:rsidRPr="001C2338">
        <w:rPr>
          <w:rFonts w:ascii="garamond" w:eastAsia="Times New Roman" w:hAnsi="garamond" w:cs="Times New Roman"/>
          <w:color w:val="000000" w:themeColor="text1"/>
        </w:rPr>
        <w:t xml:space="preserve"> tenant’s rights organization, legal aid volunteers, and mental health service providers.</w:t>
      </w:r>
      <w:r w:rsidR="00955A96" w:rsidRPr="001C2338">
        <w:rPr>
          <w:rStyle w:val="FootnoteReference"/>
          <w:rFonts w:ascii="garamond" w:eastAsia="Times New Roman" w:hAnsi="garamond" w:cs="Times New Roman"/>
          <w:color w:val="000000" w:themeColor="text1"/>
        </w:rPr>
        <w:footnoteReference w:id="61"/>
      </w:r>
      <w:r w:rsidR="00955A96" w:rsidRPr="001C2338">
        <w:rPr>
          <w:rFonts w:ascii="garamond" w:eastAsia="Times New Roman" w:hAnsi="garamond" w:cs="Times New Roman"/>
          <w:color w:val="000000" w:themeColor="text1"/>
        </w:rPr>
        <w:t xml:space="preserve"> The space between the</w:t>
      </w:r>
      <w:r w:rsidR="001754F7">
        <w:rPr>
          <w:rFonts w:ascii="garamond" w:eastAsia="Times New Roman" w:hAnsi="garamond" w:cs="Times New Roman"/>
          <w:color w:val="000000" w:themeColor="text1"/>
        </w:rPr>
        <w:t xml:space="preserve"> service tents </w:t>
      </w:r>
      <w:r w:rsidR="00955A96" w:rsidRPr="001C2338">
        <w:rPr>
          <w:rFonts w:ascii="garamond" w:eastAsia="Times New Roman" w:hAnsi="garamond" w:cs="Times New Roman"/>
          <w:color w:val="000000" w:themeColor="text1"/>
        </w:rPr>
        <w:t xml:space="preserve">was a gathering place for impromptu conversations from neighbors who would tend the garden or participate in activities like yoga sessions, </w:t>
      </w:r>
      <w:r w:rsidR="000E7793" w:rsidRPr="001C2338">
        <w:rPr>
          <w:rFonts w:ascii="garamond" w:eastAsia="Times New Roman" w:hAnsi="garamond" w:cs="Times New Roman"/>
          <w:color w:val="000000" w:themeColor="text1"/>
        </w:rPr>
        <w:t>art</w:t>
      </w:r>
      <w:r w:rsidR="000E7793">
        <w:rPr>
          <w:rFonts w:ascii="garamond" w:eastAsia="Times New Roman" w:hAnsi="garamond" w:cs="Times New Roman"/>
          <w:color w:val="000000" w:themeColor="text1"/>
        </w:rPr>
        <w:t>making</w:t>
      </w:r>
      <w:r w:rsidR="00955A96" w:rsidRPr="001C2338">
        <w:rPr>
          <w:rFonts w:ascii="garamond" w:eastAsia="Times New Roman" w:hAnsi="garamond" w:cs="Times New Roman"/>
          <w:color w:val="000000" w:themeColor="text1"/>
        </w:rPr>
        <w:t>, and dancing.</w:t>
      </w:r>
      <w:r w:rsidR="00955A96" w:rsidRPr="00955A96">
        <w:rPr>
          <w:rFonts w:ascii="garamond" w:eastAsia="Times New Roman" w:hAnsi="garamond" w:cs="Times New Roman"/>
          <w:color w:val="000000" w:themeColor="text1"/>
        </w:rPr>
        <w:t xml:space="preserve"> </w:t>
      </w:r>
    </w:p>
    <w:p w14:paraId="53FF2635" w14:textId="6A48ACCD" w:rsidR="00C81ED6" w:rsidRPr="00C81ED6" w:rsidRDefault="00955A96" w:rsidP="00C81ED6">
      <w:pPr>
        <w:ind w:firstLine="720"/>
        <w:rPr>
          <w:rFonts w:ascii="garamond" w:eastAsia="Times New Roman" w:hAnsi="garamond" w:cs="Times New Roman"/>
          <w:color w:val="000000" w:themeColor="text1"/>
        </w:rPr>
      </w:pPr>
      <w:r w:rsidRPr="001C2338">
        <w:rPr>
          <w:rFonts w:ascii="garamond" w:eastAsia="Times New Roman" w:hAnsi="garamond" w:cs="Times New Roman"/>
          <w:color w:val="000000" w:themeColor="text1"/>
        </w:rPr>
        <w:t xml:space="preserve">These structures, although modest, served as a live archive of the holistic, community-based care that protesters argued was necessary for serving mental health needs: flexible spaces that accommodate a range of service providers; private spaces easily accessible by the community; gathering spaces which allow for neighbors to process trauma collectively; and beautiful spaces which provide comfort and reflect the value of the neighborhood. </w:t>
      </w:r>
      <w:r w:rsidRPr="001C2338">
        <w:rPr>
          <w:rFonts w:ascii="garamond" w:hAnsi="garamond"/>
          <w:color w:val="000000" w:themeColor="text1"/>
        </w:rPr>
        <w:t>Nortasha Stingley</w:t>
      </w:r>
      <w:r>
        <w:rPr>
          <w:rFonts w:ascii="garamond" w:hAnsi="garamond"/>
          <w:color w:val="000000" w:themeColor="text1"/>
        </w:rPr>
        <w:t xml:space="preserve">, a community member who had lost her daughter to gun violence and had begun to use the space, explained, </w:t>
      </w:r>
      <w:r w:rsidRPr="001C2338">
        <w:rPr>
          <w:rFonts w:ascii="garamond" w:hAnsi="garamond"/>
          <w:color w:val="000000" w:themeColor="text1"/>
        </w:rPr>
        <w:t xml:space="preserve">“We need a space where we can come, we can meditate, we can be creative and we can have peace . . . </w:t>
      </w:r>
      <w:r w:rsidRPr="001C2338">
        <w:rPr>
          <w:rFonts w:ascii="garamond" w:hAnsi="garamond"/>
          <w:color w:val="000000" w:themeColor="text1"/>
        </w:rPr>
        <w:lastRenderedPageBreak/>
        <w:t>throughout the city, with so much violence going on, we need some type of comfort.”</w:t>
      </w:r>
      <w:r w:rsidRPr="001C2338">
        <w:rPr>
          <w:rStyle w:val="FootnoteReference"/>
          <w:rFonts w:ascii="garamond" w:hAnsi="garamond"/>
          <w:color w:val="000000" w:themeColor="text1"/>
        </w:rPr>
        <w:footnoteReference w:id="62"/>
      </w:r>
      <w:r w:rsidRPr="001C2338">
        <w:rPr>
          <w:rFonts w:ascii="garamond" w:hAnsi="garamond"/>
          <w:color w:val="000000" w:themeColor="text1"/>
        </w:rPr>
        <w:t xml:space="preserve"> </w:t>
      </w:r>
      <w:r w:rsidR="001754F7">
        <w:rPr>
          <w:rFonts w:ascii="garamond" w:hAnsi="garamond"/>
          <w:color w:val="000000" w:themeColor="text1"/>
        </w:rPr>
        <w:t xml:space="preserve">The Healing Village provided </w:t>
      </w:r>
      <w:r w:rsidR="007B7F66">
        <w:rPr>
          <w:rFonts w:ascii="garamond" w:hAnsi="garamond"/>
          <w:color w:val="000000" w:themeColor="text1"/>
        </w:rPr>
        <w:t>this space, serving as a living archive of the community’s understanding of the intersecting challenges which communities experiencing gun violence face—beyond the crime itself.</w:t>
      </w:r>
    </w:p>
    <w:p w14:paraId="21739236" w14:textId="77777777" w:rsidR="001754F7" w:rsidRDefault="00C81ED6" w:rsidP="00C81ED6">
      <w:pPr>
        <w:ind w:firstLine="720"/>
        <w:rPr>
          <w:rFonts w:ascii="garamond" w:hAnsi="garamond"/>
          <w:color w:val="000000" w:themeColor="text1"/>
        </w:rPr>
      </w:pPr>
      <w:r>
        <w:rPr>
          <w:rFonts w:ascii="garamond" w:hAnsi="garamond"/>
          <w:color w:val="000000" w:themeColor="text1"/>
        </w:rPr>
        <w:t>Rather than being simply expressive of political principles, t</w:t>
      </w:r>
      <w:r w:rsidRPr="001C2338">
        <w:rPr>
          <w:rFonts w:ascii="garamond" w:hAnsi="garamond"/>
          <w:color w:val="000000" w:themeColor="text1"/>
        </w:rPr>
        <w:t xml:space="preserve">his live archive differs from other </w:t>
      </w:r>
      <w:r>
        <w:rPr>
          <w:rFonts w:ascii="garamond" w:hAnsi="garamond"/>
          <w:color w:val="000000" w:themeColor="text1"/>
        </w:rPr>
        <w:t>ways an organization might</w:t>
      </w:r>
      <w:r w:rsidRPr="001C2338">
        <w:rPr>
          <w:rFonts w:ascii="garamond" w:hAnsi="garamond"/>
          <w:color w:val="000000" w:themeColor="text1"/>
        </w:rPr>
        <w:t xml:space="preserve"> articulat</w:t>
      </w:r>
      <w:r>
        <w:rPr>
          <w:rFonts w:ascii="garamond" w:hAnsi="garamond"/>
          <w:color w:val="000000" w:themeColor="text1"/>
        </w:rPr>
        <w:t>e</w:t>
      </w:r>
      <w:r w:rsidRPr="001C2338">
        <w:rPr>
          <w:rFonts w:ascii="garamond" w:hAnsi="garamond"/>
          <w:color w:val="000000" w:themeColor="text1"/>
        </w:rPr>
        <w:t xml:space="preserve"> </w:t>
      </w:r>
      <w:r>
        <w:rPr>
          <w:rFonts w:ascii="garamond" w:hAnsi="garamond"/>
          <w:color w:val="000000" w:themeColor="text1"/>
        </w:rPr>
        <w:t>their</w:t>
      </w:r>
      <w:r w:rsidRPr="001C2338">
        <w:rPr>
          <w:rFonts w:ascii="garamond" w:hAnsi="garamond"/>
          <w:color w:val="000000" w:themeColor="text1"/>
        </w:rPr>
        <w:t xml:space="preserve"> principles because of its spatial form. Documenting movement goals in a manifesto or speech can concretize organizing principles and serve as a medium for resolving internal ideological differences</w:t>
      </w:r>
      <w:r w:rsidR="001754F7">
        <w:rPr>
          <w:rFonts w:ascii="garamond" w:hAnsi="garamond"/>
          <w:color w:val="000000" w:themeColor="text1"/>
        </w:rPr>
        <w:t xml:space="preserve"> (</w:t>
      </w:r>
      <w:r w:rsidRPr="001C2338">
        <w:rPr>
          <w:rFonts w:ascii="garamond" w:hAnsi="garamond"/>
          <w:color w:val="000000" w:themeColor="text1"/>
        </w:rPr>
        <w:t>or at least legitimizing the perspective of the document’s writers</w:t>
      </w:r>
      <w:r w:rsidR="001754F7">
        <w:rPr>
          <w:rFonts w:ascii="garamond" w:hAnsi="garamond"/>
          <w:color w:val="000000" w:themeColor="text1"/>
        </w:rPr>
        <w:t>)</w:t>
      </w:r>
      <w:r w:rsidRPr="001C2338">
        <w:rPr>
          <w:rFonts w:ascii="garamond" w:hAnsi="garamond"/>
          <w:color w:val="000000" w:themeColor="text1"/>
        </w:rPr>
        <w:t xml:space="preserve">. However, by representing </w:t>
      </w:r>
      <w:r>
        <w:rPr>
          <w:rFonts w:ascii="garamond" w:hAnsi="garamond"/>
          <w:color w:val="000000" w:themeColor="text1"/>
        </w:rPr>
        <w:t>principles</w:t>
      </w:r>
      <w:r w:rsidRPr="001C2338">
        <w:rPr>
          <w:rFonts w:ascii="garamond" w:hAnsi="garamond"/>
          <w:color w:val="000000" w:themeColor="text1"/>
        </w:rPr>
        <w:t xml:space="preserve"> in material structures and concrete resources, these movement goals no longer function as simple representations. </w:t>
      </w:r>
      <w:r>
        <w:rPr>
          <w:rFonts w:ascii="garamond" w:hAnsi="garamond"/>
          <w:color w:val="000000" w:themeColor="text1"/>
        </w:rPr>
        <w:t>Instead of</w:t>
      </w:r>
      <w:r w:rsidR="00955A96">
        <w:rPr>
          <w:rFonts w:ascii="garamond" w:hAnsi="garamond"/>
          <w:color w:val="000000" w:themeColor="text1"/>
        </w:rPr>
        <w:t xml:space="preserve"> simply demand</w:t>
      </w:r>
      <w:r>
        <w:rPr>
          <w:rFonts w:ascii="garamond" w:hAnsi="garamond"/>
          <w:color w:val="000000" w:themeColor="text1"/>
        </w:rPr>
        <w:t>ing</w:t>
      </w:r>
      <w:r w:rsidR="00955A96">
        <w:rPr>
          <w:rFonts w:ascii="garamond" w:hAnsi="garamond"/>
          <w:color w:val="000000" w:themeColor="text1"/>
        </w:rPr>
        <w:t xml:space="preserve"> spaces of comfort, the Healing Village built a model of it.</w:t>
      </w:r>
      <w:r w:rsidR="00955A96" w:rsidRPr="00955A96">
        <w:t xml:space="preserve"> </w:t>
      </w:r>
      <w:r w:rsidR="00955A96" w:rsidRPr="00955A96">
        <w:rPr>
          <w:rFonts w:ascii="garamond" w:hAnsi="garamond"/>
          <w:color w:val="000000" w:themeColor="text1"/>
        </w:rPr>
        <w:t xml:space="preserve">The </w:t>
      </w:r>
      <w:r w:rsidR="00955A96">
        <w:rPr>
          <w:rFonts w:ascii="garamond" w:hAnsi="garamond"/>
          <w:color w:val="000000" w:themeColor="text1"/>
        </w:rPr>
        <w:t xml:space="preserve">occupation </w:t>
      </w:r>
      <w:r w:rsidR="00955A96" w:rsidRPr="00955A96">
        <w:rPr>
          <w:rFonts w:ascii="garamond" w:hAnsi="garamond"/>
          <w:color w:val="000000" w:themeColor="text1"/>
        </w:rPr>
        <w:t xml:space="preserve">makes a tangible, inhabitable </w:t>
      </w:r>
      <w:r w:rsidR="00955A96">
        <w:rPr>
          <w:rFonts w:ascii="garamond" w:hAnsi="garamond"/>
          <w:color w:val="000000" w:themeColor="text1"/>
        </w:rPr>
        <w:t>political demand for</w:t>
      </w:r>
      <w:r w:rsidR="00955A96" w:rsidRPr="00955A96">
        <w:rPr>
          <w:rFonts w:ascii="garamond" w:hAnsi="garamond"/>
          <w:color w:val="000000" w:themeColor="text1"/>
        </w:rPr>
        <w:t xml:space="preserve"> </w:t>
      </w:r>
      <w:r w:rsidR="00955A96">
        <w:rPr>
          <w:rFonts w:ascii="garamond" w:hAnsi="garamond"/>
          <w:color w:val="000000" w:themeColor="text1"/>
        </w:rPr>
        <w:t xml:space="preserve">mental health provision, and an argument that mental health depends on </w:t>
      </w:r>
      <w:r w:rsidR="00955A96" w:rsidRPr="00955A96">
        <w:rPr>
          <w:rFonts w:ascii="garamond" w:hAnsi="garamond"/>
          <w:color w:val="000000" w:themeColor="text1"/>
        </w:rPr>
        <w:t xml:space="preserve">enmeshment of leisure spaces, accessible </w:t>
      </w:r>
      <w:r w:rsidR="00955A96">
        <w:rPr>
          <w:rFonts w:ascii="garamond" w:hAnsi="garamond"/>
          <w:color w:val="000000" w:themeColor="text1"/>
        </w:rPr>
        <w:t xml:space="preserve">legal </w:t>
      </w:r>
      <w:r w:rsidR="00955A96" w:rsidRPr="00955A96">
        <w:rPr>
          <w:rFonts w:ascii="garamond" w:hAnsi="garamond"/>
          <w:color w:val="000000" w:themeColor="text1"/>
        </w:rPr>
        <w:t xml:space="preserve">services, </w:t>
      </w:r>
      <w:r w:rsidR="00955A96">
        <w:rPr>
          <w:rFonts w:ascii="garamond" w:hAnsi="garamond"/>
          <w:color w:val="000000" w:themeColor="text1"/>
        </w:rPr>
        <w:t>in addition to counseling services</w:t>
      </w:r>
      <w:r w:rsidR="00955A96" w:rsidRPr="00955A96">
        <w:rPr>
          <w:rFonts w:ascii="garamond" w:hAnsi="garamond"/>
          <w:color w:val="000000" w:themeColor="text1"/>
        </w:rPr>
        <w:t>.</w:t>
      </w:r>
      <w:r>
        <w:rPr>
          <w:rFonts w:ascii="garamond" w:hAnsi="garamond"/>
          <w:color w:val="000000" w:themeColor="text1"/>
        </w:rPr>
        <w:t xml:space="preserve"> </w:t>
      </w:r>
    </w:p>
    <w:p w14:paraId="539B8857" w14:textId="2A82CB8D" w:rsidR="00995123" w:rsidRDefault="00A168F4" w:rsidP="003035CC">
      <w:pPr>
        <w:ind w:firstLine="720"/>
        <w:rPr>
          <w:rFonts w:ascii="garamond" w:eastAsia="Times New Roman" w:hAnsi="garamond" w:cs="Times New Roman"/>
          <w:color w:val="000000" w:themeColor="text1"/>
        </w:rPr>
      </w:pPr>
      <w:r>
        <w:rPr>
          <w:rFonts w:ascii="garamond" w:hAnsi="garamond"/>
          <w:color w:val="000000" w:themeColor="text1"/>
        </w:rPr>
        <w:t>Space-making</w:t>
      </w:r>
      <w:r w:rsidR="00822896">
        <w:rPr>
          <w:rFonts w:ascii="garamond" w:hAnsi="garamond"/>
          <w:color w:val="000000" w:themeColor="text1"/>
        </w:rPr>
        <w:t xml:space="preserve"> also affects our </w:t>
      </w:r>
      <w:r>
        <w:rPr>
          <w:rFonts w:ascii="garamond" w:hAnsi="garamond"/>
          <w:color w:val="000000" w:themeColor="text1"/>
        </w:rPr>
        <w:t>framing of the present</w:t>
      </w:r>
      <w:r w:rsidR="00822896">
        <w:rPr>
          <w:rFonts w:ascii="garamond" w:hAnsi="garamond"/>
          <w:color w:val="000000" w:themeColor="text1"/>
        </w:rPr>
        <w:t xml:space="preserve"> through </w:t>
      </w:r>
      <w:r>
        <w:rPr>
          <w:rFonts w:ascii="garamond" w:hAnsi="garamond"/>
          <w:color w:val="000000" w:themeColor="text1"/>
        </w:rPr>
        <w:t>architecture’s</w:t>
      </w:r>
      <w:r w:rsidR="00822896">
        <w:rPr>
          <w:rFonts w:ascii="garamond" w:hAnsi="garamond"/>
          <w:color w:val="000000" w:themeColor="text1"/>
        </w:rPr>
        <w:t xml:space="preserve"> evidentiary power.</w:t>
      </w:r>
      <w:r w:rsidR="00822896" w:rsidRPr="001C2338">
        <w:rPr>
          <w:rFonts w:ascii="garamond" w:hAnsi="garamond"/>
          <w:color w:val="000000" w:themeColor="text1"/>
        </w:rPr>
        <w:t xml:space="preserve"> </w:t>
      </w:r>
      <w:r w:rsidR="00822896">
        <w:rPr>
          <w:rFonts w:ascii="garamond" w:hAnsi="garamond"/>
          <w:color w:val="000000" w:themeColor="text1"/>
        </w:rPr>
        <w:t>M</w:t>
      </w:r>
      <w:r w:rsidR="00822896" w:rsidRPr="001C2338">
        <w:rPr>
          <w:rFonts w:ascii="garamond" w:hAnsi="garamond"/>
          <w:color w:val="000000" w:themeColor="text1"/>
        </w:rPr>
        <w:t>aterial evidence of these experimental models play</w:t>
      </w:r>
      <w:r w:rsidR="00822896">
        <w:rPr>
          <w:rFonts w:ascii="garamond" w:hAnsi="garamond"/>
          <w:color w:val="000000" w:themeColor="text1"/>
        </w:rPr>
        <w:t>s</w:t>
      </w:r>
      <w:r w:rsidR="00822896" w:rsidRPr="001C2338">
        <w:rPr>
          <w:rFonts w:ascii="garamond" w:hAnsi="garamond"/>
          <w:color w:val="000000" w:themeColor="text1"/>
        </w:rPr>
        <w:t xml:space="preserve"> an important role in legitimizing them</w:t>
      </w:r>
      <w:r w:rsidR="00126C68">
        <w:rPr>
          <w:rFonts w:ascii="garamond" w:hAnsi="garamond"/>
          <w:color w:val="000000" w:themeColor="text1"/>
        </w:rPr>
        <w:t xml:space="preserve"> </w:t>
      </w:r>
      <w:r w:rsidR="00822896" w:rsidRPr="001C2338">
        <w:rPr>
          <w:rFonts w:ascii="garamond" w:hAnsi="garamond"/>
          <w:color w:val="000000" w:themeColor="text1"/>
        </w:rPr>
        <w:t>and making them see</w:t>
      </w:r>
      <w:r w:rsidR="00822896">
        <w:rPr>
          <w:rFonts w:ascii="garamond" w:hAnsi="garamond"/>
          <w:color w:val="000000" w:themeColor="text1"/>
        </w:rPr>
        <w:t>m</w:t>
      </w:r>
      <w:r w:rsidR="00822896" w:rsidRPr="001C2338">
        <w:rPr>
          <w:rFonts w:ascii="garamond" w:hAnsi="garamond"/>
          <w:color w:val="000000" w:themeColor="text1"/>
        </w:rPr>
        <w:t xml:space="preserve"> feasible. </w:t>
      </w:r>
      <w:r w:rsidR="00104A31">
        <w:rPr>
          <w:rFonts w:ascii="garamond" w:eastAsia="Times New Roman" w:hAnsi="garamond" w:cs="Times New Roman"/>
          <w:color w:val="000000" w:themeColor="text1"/>
        </w:rPr>
        <w:t xml:space="preserve">By making this type of mental health space, the occupation made this form of political demand tangible. These inhabited models provide embodied experience in political alternatives. </w:t>
      </w:r>
      <w:r w:rsidR="00822896" w:rsidRPr="001C2338">
        <w:rPr>
          <w:rFonts w:ascii="garamond" w:hAnsi="garamond"/>
          <w:color w:val="000000" w:themeColor="text1"/>
        </w:rPr>
        <w:t>Even temporary structures carry relative permanence; once constructed, tomorrow the ad</w:t>
      </w:r>
      <w:r w:rsidR="00822896">
        <w:rPr>
          <w:rFonts w:ascii="garamond" w:hAnsi="garamond"/>
          <w:color w:val="000000" w:themeColor="text1"/>
        </w:rPr>
        <w:t xml:space="preserve"> </w:t>
      </w:r>
      <w:r w:rsidR="00822896" w:rsidRPr="001C2338">
        <w:rPr>
          <w:rFonts w:ascii="garamond" w:hAnsi="garamond"/>
          <w:color w:val="000000" w:themeColor="text1"/>
        </w:rPr>
        <w:t xml:space="preserve">hoc structures will be there, until they are actively deconstructed or fall apart (which was, admittedly, a problem when high winds whipped through Freedom Square </w:t>
      </w:r>
      <w:r w:rsidR="007C76BE">
        <w:rPr>
          <w:rFonts w:ascii="garamond" w:hAnsi="garamond"/>
          <w:color w:val="000000" w:themeColor="text1"/>
        </w:rPr>
        <w:t xml:space="preserve">in the summer of </w:t>
      </w:r>
      <w:r w:rsidR="00822896">
        <w:rPr>
          <w:rFonts w:ascii="garamond" w:hAnsi="garamond"/>
          <w:color w:val="000000" w:themeColor="text1"/>
        </w:rPr>
        <w:t>2016</w:t>
      </w:r>
      <w:r w:rsidR="00822896" w:rsidRPr="001C2338">
        <w:rPr>
          <w:rFonts w:ascii="garamond" w:hAnsi="garamond"/>
          <w:color w:val="000000" w:themeColor="text1"/>
        </w:rPr>
        <w:t>). These small</w:t>
      </w:r>
      <w:r w:rsidR="00822896">
        <w:rPr>
          <w:rFonts w:ascii="garamond" w:hAnsi="garamond"/>
          <w:color w:val="000000" w:themeColor="text1"/>
        </w:rPr>
        <w:t>-</w:t>
      </w:r>
      <w:r w:rsidR="00822896" w:rsidRPr="001C2338">
        <w:rPr>
          <w:rFonts w:ascii="garamond" w:hAnsi="garamond"/>
          <w:color w:val="000000" w:themeColor="text1"/>
        </w:rPr>
        <w:t xml:space="preserve">scale experimental </w:t>
      </w:r>
      <w:r w:rsidR="00822896">
        <w:rPr>
          <w:rFonts w:ascii="garamond" w:hAnsi="garamond"/>
          <w:color w:val="000000" w:themeColor="text1"/>
        </w:rPr>
        <w:t>spaces</w:t>
      </w:r>
      <w:r w:rsidR="00822896" w:rsidRPr="001C2338">
        <w:rPr>
          <w:rFonts w:ascii="garamond" w:hAnsi="garamond"/>
          <w:color w:val="000000" w:themeColor="text1"/>
        </w:rPr>
        <w:t xml:space="preserve"> </w:t>
      </w:r>
      <w:r w:rsidR="00822896">
        <w:rPr>
          <w:rFonts w:ascii="garamond" w:hAnsi="garamond"/>
          <w:color w:val="000000" w:themeColor="text1"/>
        </w:rPr>
        <w:t>claim through their physical presence</w:t>
      </w:r>
      <w:r w:rsidR="00822896" w:rsidRPr="001C2338">
        <w:rPr>
          <w:rFonts w:ascii="garamond" w:hAnsi="garamond"/>
          <w:color w:val="000000" w:themeColor="text1"/>
        </w:rPr>
        <w:t xml:space="preserve"> that once </w:t>
      </w:r>
      <w:r w:rsidR="00822896">
        <w:rPr>
          <w:rFonts w:ascii="garamond" w:hAnsi="garamond"/>
          <w:color w:val="000000" w:themeColor="text1"/>
        </w:rPr>
        <w:t xml:space="preserve">they have been </w:t>
      </w:r>
      <w:r w:rsidR="00822896" w:rsidRPr="001C2338">
        <w:rPr>
          <w:rFonts w:ascii="garamond" w:hAnsi="garamond"/>
          <w:color w:val="000000" w:themeColor="text1"/>
        </w:rPr>
        <w:t xml:space="preserve">made, they can be made again. </w:t>
      </w:r>
      <w:r w:rsidR="00822896">
        <w:rPr>
          <w:rFonts w:ascii="garamond" w:hAnsi="garamond"/>
          <w:color w:val="000000" w:themeColor="text1"/>
        </w:rPr>
        <w:t>T</w:t>
      </w:r>
      <w:r w:rsidR="00822896" w:rsidRPr="001C2338">
        <w:rPr>
          <w:rFonts w:ascii="garamond" w:hAnsi="garamond"/>
          <w:color w:val="000000" w:themeColor="text1"/>
        </w:rPr>
        <w:t xml:space="preserve">hey make visible and visceral what seemed outside the realm of possibility. In strong terms, experimental worldmaking in small spaces attempt to drag utopia into the present, shaking it out, showing it off, trying it on. </w:t>
      </w:r>
      <w:r w:rsidR="00822896">
        <w:rPr>
          <w:rFonts w:ascii="garamond" w:hAnsi="garamond"/>
          <w:color w:val="000000" w:themeColor="text1"/>
        </w:rPr>
        <w:t xml:space="preserve">This experimentation shifts existing conditions, such that our vision of </w:t>
      </w:r>
      <w:r w:rsidR="00822896">
        <w:rPr>
          <w:rFonts w:ascii="garamond" w:hAnsi="garamond"/>
          <w:i/>
          <w:iCs/>
          <w:color w:val="000000" w:themeColor="text1"/>
        </w:rPr>
        <w:t>what can be</w:t>
      </w:r>
      <w:r w:rsidR="00822896">
        <w:rPr>
          <w:rFonts w:ascii="garamond" w:hAnsi="garamond"/>
          <w:color w:val="000000" w:themeColor="text1"/>
        </w:rPr>
        <w:t xml:space="preserve"> changes as well. </w:t>
      </w:r>
      <w:r w:rsidR="00822896" w:rsidRPr="001C2338">
        <w:rPr>
          <w:rFonts w:ascii="garamond" w:hAnsi="garamond"/>
          <w:color w:val="000000" w:themeColor="text1"/>
        </w:rPr>
        <w:t xml:space="preserve">Being within and moving through new political situations expands </w:t>
      </w:r>
      <w:r w:rsidR="007C76BE">
        <w:rPr>
          <w:rFonts w:ascii="garamond" w:hAnsi="garamond"/>
          <w:color w:val="000000" w:themeColor="text1"/>
        </w:rPr>
        <w:t>participants’</w:t>
      </w:r>
      <w:r w:rsidR="00822896" w:rsidRPr="001C2338">
        <w:rPr>
          <w:rFonts w:ascii="garamond" w:hAnsi="garamond"/>
          <w:color w:val="000000" w:themeColor="text1"/>
        </w:rPr>
        <w:t xml:space="preserve"> understanding of the horizons of possibility.</w:t>
      </w:r>
      <w:r w:rsidR="003035CC">
        <w:rPr>
          <w:rFonts w:ascii="garamond" w:eastAsia="Times New Roman" w:hAnsi="garamond" w:cs="Times New Roman"/>
          <w:color w:val="000000" w:themeColor="text1"/>
        </w:rPr>
        <w:t xml:space="preserve"> </w:t>
      </w:r>
    </w:p>
    <w:p w14:paraId="38F36574" w14:textId="38A3178A" w:rsidR="00805CED" w:rsidRDefault="00805CED" w:rsidP="00805CED">
      <w:pPr>
        <w:ind w:firstLine="720"/>
        <w:rPr>
          <w:rFonts w:ascii="garamond" w:hAnsi="garamond"/>
          <w:color w:val="000000" w:themeColor="text1"/>
        </w:rPr>
      </w:pPr>
      <w:r w:rsidRPr="001C2338">
        <w:rPr>
          <w:rFonts w:ascii="garamond" w:hAnsi="garamond"/>
          <w:color w:val="000000" w:themeColor="text1"/>
        </w:rPr>
        <w:t xml:space="preserve">From an empty lot, the Healing Village built and embodied a community whose needs were met through mutual aid and in which mental health was central. But world-making enterprises like this one are soon packed up, closed out, swept away. We might be tempted to see these protest spaces as scrappy </w:t>
      </w:r>
      <w:r>
        <w:rPr>
          <w:rFonts w:ascii="garamond" w:hAnsi="garamond"/>
          <w:color w:val="000000" w:themeColor="text1"/>
        </w:rPr>
        <w:t>schemes</w:t>
      </w:r>
      <w:r w:rsidRPr="001C2338">
        <w:rPr>
          <w:rFonts w:ascii="garamond" w:hAnsi="garamond"/>
          <w:color w:val="000000" w:themeColor="text1"/>
        </w:rPr>
        <w:t xml:space="preserve"> that ultimately fail to achieve mobilization or shift city policy. Or as offering only “an overly idealistic image of togetherness, a retro '60s pie-in-the-sky portrait of communal living,” as one Chicago Tribune journalist described them. However, these utopian commitments matter precisely because they are </w:t>
      </w:r>
      <w:r>
        <w:rPr>
          <w:rFonts w:ascii="garamond" w:hAnsi="garamond"/>
          <w:color w:val="000000" w:themeColor="text1"/>
        </w:rPr>
        <w:t>materialized</w:t>
      </w:r>
      <w:r w:rsidRPr="001C2338">
        <w:rPr>
          <w:rFonts w:ascii="garamond" w:hAnsi="garamond"/>
          <w:color w:val="000000" w:themeColor="text1"/>
        </w:rPr>
        <w:t xml:space="preserve"> in </w:t>
      </w:r>
      <w:r>
        <w:rPr>
          <w:rFonts w:ascii="garamond" w:hAnsi="garamond"/>
          <w:color w:val="000000" w:themeColor="text1"/>
        </w:rPr>
        <w:t xml:space="preserve">inhabitable, if fleeting, </w:t>
      </w:r>
      <w:r w:rsidRPr="001C2338">
        <w:rPr>
          <w:rFonts w:ascii="garamond" w:hAnsi="garamond"/>
          <w:color w:val="000000" w:themeColor="text1"/>
        </w:rPr>
        <w:t>experiment</w:t>
      </w:r>
      <w:r>
        <w:rPr>
          <w:rFonts w:ascii="garamond" w:hAnsi="garamond"/>
          <w:color w:val="000000" w:themeColor="text1"/>
        </w:rPr>
        <w:t>s</w:t>
      </w:r>
      <w:r w:rsidRPr="001C2338">
        <w:rPr>
          <w:rFonts w:ascii="garamond" w:hAnsi="garamond"/>
          <w:color w:val="000000" w:themeColor="text1"/>
        </w:rPr>
        <w:t xml:space="preserve">. </w:t>
      </w:r>
      <w:r>
        <w:rPr>
          <w:rFonts w:ascii="garamond" w:hAnsi="garamond"/>
          <w:color w:val="000000" w:themeColor="text1"/>
        </w:rPr>
        <w:t>Their flexible character and reliance on ad hoc architecture allows them to crop up quickly and with limited resources. To make up for their more limited architectural resources, activists relied more on visual symbolism and programming activities</w:t>
      </w:r>
      <w:r w:rsidR="007C76BE">
        <w:rPr>
          <w:rFonts w:ascii="garamond" w:hAnsi="garamond"/>
          <w:color w:val="000000" w:themeColor="text1"/>
        </w:rPr>
        <w:t>—such as dance events and community gardening sessions—</w:t>
      </w:r>
      <w:r>
        <w:rPr>
          <w:rFonts w:ascii="garamond" w:hAnsi="garamond"/>
          <w:color w:val="000000" w:themeColor="text1"/>
        </w:rPr>
        <w:t xml:space="preserve">to transform space. </w:t>
      </w:r>
    </w:p>
    <w:p w14:paraId="6C87EE8D" w14:textId="76920FD9" w:rsidR="00805CED" w:rsidRPr="001311A3" w:rsidRDefault="00805CED" w:rsidP="001311A3">
      <w:pPr>
        <w:ind w:firstLine="720"/>
        <w:rPr>
          <w:rFonts w:ascii="garamond" w:eastAsia="Times New Roman" w:hAnsi="garamond" w:cs="Times New Roman"/>
          <w:color w:val="000000" w:themeColor="text1"/>
        </w:rPr>
      </w:pPr>
      <w:r>
        <w:rPr>
          <w:rFonts w:ascii="garamond" w:hAnsi="garamond"/>
          <w:color w:val="000000" w:themeColor="text1"/>
        </w:rPr>
        <w:t xml:space="preserve">One might consider the ephemerality of these </w:t>
      </w:r>
      <w:r w:rsidR="000E7793">
        <w:rPr>
          <w:rFonts w:ascii="garamond" w:hAnsi="garamond"/>
          <w:color w:val="000000" w:themeColor="text1"/>
        </w:rPr>
        <w:t>occupations and</w:t>
      </w:r>
      <w:r>
        <w:rPr>
          <w:rFonts w:ascii="garamond" w:hAnsi="garamond"/>
          <w:color w:val="000000" w:themeColor="text1"/>
        </w:rPr>
        <w:t xml:space="preserve"> wonder whether they can really fuel meaningful political change. However, their specific functions do not rely on permanence. Our evaluation of their ephemerality depends on the first place on whether we compare them to more traditional forms of protest like marches and gatherings, or to permanent spaces where </w:t>
      </w:r>
      <w:r>
        <w:rPr>
          <w:rFonts w:ascii="garamond" w:hAnsi="garamond"/>
          <w:color w:val="000000" w:themeColor="text1"/>
        </w:rPr>
        <w:lastRenderedPageBreak/>
        <w:t>political groups organize (like the houses of the people described by Kohn).</w:t>
      </w:r>
      <w:r w:rsidR="001311A3">
        <w:rPr>
          <w:rStyle w:val="FootnoteReference"/>
          <w:rFonts w:ascii="garamond" w:hAnsi="garamond"/>
          <w:color w:val="000000" w:themeColor="text1"/>
        </w:rPr>
        <w:footnoteReference w:id="63"/>
      </w:r>
      <w:r>
        <w:rPr>
          <w:rFonts w:ascii="garamond" w:hAnsi="garamond"/>
          <w:color w:val="000000" w:themeColor="text1"/>
        </w:rPr>
        <w:t xml:space="preserve"> Protest occupations often last several days or </w:t>
      </w:r>
      <w:r w:rsidR="000E7793">
        <w:rPr>
          <w:rFonts w:ascii="garamond" w:hAnsi="garamond"/>
          <w:color w:val="000000" w:themeColor="text1"/>
        </w:rPr>
        <w:t>weeks and</w:t>
      </w:r>
      <w:r>
        <w:rPr>
          <w:rFonts w:ascii="garamond" w:hAnsi="garamond"/>
          <w:color w:val="000000" w:themeColor="text1"/>
        </w:rPr>
        <w:t xml:space="preserve"> are often iterative. In any case, these protest occupations’ ephemerality offers several advantages: they allow experimentation to unfold in </w:t>
      </w:r>
      <w:r w:rsidR="000E7793">
        <w:rPr>
          <w:rFonts w:ascii="garamond" w:hAnsi="garamond"/>
          <w:color w:val="000000" w:themeColor="text1"/>
        </w:rPr>
        <w:t>symbolically loaded</w:t>
      </w:r>
      <w:r>
        <w:rPr>
          <w:rFonts w:ascii="garamond" w:hAnsi="garamond"/>
          <w:color w:val="000000" w:themeColor="text1"/>
        </w:rPr>
        <w:t xml:space="preserve"> locales, building new forms of political interaction in public or publicly-positioned spaces. </w:t>
      </w:r>
      <w:r w:rsidR="001311A3">
        <w:rPr>
          <w:rFonts w:ascii="garamond" w:hAnsi="garamond"/>
          <w:color w:val="000000" w:themeColor="text1"/>
        </w:rPr>
        <w:t>T</w:t>
      </w:r>
      <w:r w:rsidR="001311A3">
        <w:rPr>
          <w:rFonts w:ascii="garamond" w:hAnsi="garamond"/>
          <w:color w:val="000000" w:themeColor="text1"/>
        </w:rPr>
        <w:t>he temporary nature of the occupation</w:t>
      </w:r>
      <w:r w:rsidR="001311A3">
        <w:rPr>
          <w:rFonts w:ascii="garamond" w:hAnsi="garamond"/>
          <w:color w:val="000000" w:themeColor="text1"/>
        </w:rPr>
        <w:t xml:space="preserve"> </w:t>
      </w:r>
      <w:r w:rsidR="001311A3">
        <w:rPr>
          <w:rFonts w:ascii="garamond" w:hAnsi="garamond"/>
          <w:color w:val="000000" w:themeColor="text1"/>
        </w:rPr>
        <w:t>contributes to the goal of experimental prefiguration, allowing space-making to be an ongoing process. Concrete experimentation of different mental health provision spaces (including atmosphere, structures, and the activities facilitated by them) is made possible by the local and impermanent nature of the project.</w:t>
      </w:r>
      <w:r w:rsidR="001311A3">
        <w:rPr>
          <w:rFonts w:ascii="garamond" w:eastAsia="Times New Roman" w:hAnsi="garamond" w:cs="Times New Roman"/>
          <w:color w:val="000000" w:themeColor="text1"/>
        </w:rPr>
        <w:t xml:space="preserve"> </w:t>
      </w:r>
      <w:r w:rsidR="001311A3" w:rsidRPr="001C2338">
        <w:rPr>
          <w:rFonts w:ascii="garamond" w:eastAsia="Times New Roman" w:hAnsi="garamond" w:cs="Times New Roman"/>
          <w:color w:val="000000" w:themeColor="text1"/>
        </w:rPr>
        <w:t xml:space="preserve">Shortly after the activists had set up their occupation, a Black barber from South Shore named Harith Augustus was shot and killed by Chicago police officers not far from the occupation. </w:t>
      </w:r>
      <w:r w:rsidR="001311A3">
        <w:rPr>
          <w:rFonts w:ascii="garamond" w:eastAsia="Times New Roman" w:hAnsi="garamond" w:cs="Times New Roman"/>
          <w:color w:val="000000" w:themeColor="text1"/>
        </w:rPr>
        <w:t>Community members rallied in response to the shooting, where upwards of a hundred officers confronted as many protesters, violence broke out and a number of protesters were beaten by the Chicago police.</w:t>
      </w:r>
      <w:r w:rsidR="001311A3">
        <w:rPr>
          <w:rStyle w:val="FootnoteReference"/>
          <w:rFonts w:ascii="garamond" w:eastAsia="Times New Roman" w:hAnsi="garamond" w:cs="Times New Roman"/>
          <w:color w:val="000000" w:themeColor="text1"/>
        </w:rPr>
        <w:footnoteReference w:id="64"/>
      </w:r>
      <w:r w:rsidR="001311A3">
        <w:rPr>
          <w:rFonts w:ascii="garamond" w:eastAsia="Times New Roman" w:hAnsi="garamond" w:cs="Times New Roman"/>
          <w:color w:val="000000" w:themeColor="text1"/>
        </w:rPr>
        <w:t xml:space="preserve"> </w:t>
      </w:r>
      <w:r w:rsidR="001311A3" w:rsidRPr="001C2338">
        <w:rPr>
          <w:rFonts w:ascii="garamond" w:eastAsia="Times New Roman" w:hAnsi="garamond" w:cs="Times New Roman"/>
          <w:color w:val="000000" w:themeColor="text1"/>
        </w:rPr>
        <w:t xml:space="preserve">The Healing Village became a place </w:t>
      </w:r>
      <w:r w:rsidR="001311A3">
        <w:rPr>
          <w:rFonts w:ascii="garamond" w:eastAsia="Times New Roman" w:hAnsi="garamond" w:cs="Times New Roman"/>
          <w:color w:val="000000" w:themeColor="text1"/>
        </w:rPr>
        <w:t>of</w:t>
      </w:r>
      <w:r w:rsidR="001311A3" w:rsidRPr="001C2338">
        <w:rPr>
          <w:rFonts w:ascii="garamond" w:eastAsia="Times New Roman" w:hAnsi="garamond" w:cs="Times New Roman"/>
          <w:color w:val="000000" w:themeColor="text1"/>
        </w:rPr>
        <w:t xml:space="preserve"> mourning </w:t>
      </w:r>
      <w:r w:rsidR="001311A3">
        <w:rPr>
          <w:rFonts w:ascii="garamond" w:eastAsia="Times New Roman" w:hAnsi="garamond" w:cs="Times New Roman"/>
          <w:color w:val="000000" w:themeColor="text1"/>
        </w:rPr>
        <w:t xml:space="preserve">and processing </w:t>
      </w:r>
      <w:r w:rsidR="001311A3" w:rsidRPr="001C2338">
        <w:rPr>
          <w:rFonts w:ascii="garamond" w:eastAsia="Times New Roman" w:hAnsi="garamond" w:cs="Times New Roman"/>
          <w:color w:val="000000" w:themeColor="text1"/>
        </w:rPr>
        <w:t>for those affected</w:t>
      </w:r>
      <w:r w:rsidR="001311A3">
        <w:rPr>
          <w:rFonts w:ascii="garamond" w:eastAsia="Times New Roman" w:hAnsi="garamond" w:cs="Times New Roman"/>
          <w:color w:val="000000" w:themeColor="text1"/>
        </w:rPr>
        <w:t xml:space="preserve"> by police violence</w:t>
      </w:r>
      <w:r w:rsidR="001311A3" w:rsidRPr="001C2338">
        <w:rPr>
          <w:rFonts w:ascii="garamond" w:eastAsia="Times New Roman" w:hAnsi="garamond" w:cs="Times New Roman"/>
          <w:color w:val="000000" w:themeColor="text1"/>
        </w:rPr>
        <w:t>.</w:t>
      </w:r>
      <w:r w:rsidR="001311A3" w:rsidRPr="001C2338">
        <w:rPr>
          <w:rStyle w:val="FootnoteReference"/>
          <w:rFonts w:ascii="garamond" w:eastAsia="Times New Roman" w:hAnsi="garamond" w:cs="Times New Roman"/>
          <w:color w:val="000000" w:themeColor="text1"/>
        </w:rPr>
        <w:footnoteReference w:id="65"/>
      </w:r>
      <w:r w:rsidR="001311A3" w:rsidRPr="001C2338">
        <w:rPr>
          <w:rFonts w:ascii="garamond" w:eastAsia="Times New Roman" w:hAnsi="garamond" w:cs="Times New Roman"/>
          <w:color w:val="000000" w:themeColor="text1"/>
        </w:rPr>
        <w:t xml:space="preserve"> </w:t>
      </w:r>
      <w:r w:rsidR="001311A3">
        <w:rPr>
          <w:rFonts w:ascii="garamond" w:eastAsia="Times New Roman" w:hAnsi="garamond" w:cs="Times New Roman"/>
          <w:color w:val="000000" w:themeColor="text1"/>
        </w:rPr>
        <w:t>While it would have been possible for those other protesters to gather in an empty lot—or indeed other gathering places in the community—the Healing Village had c</w:t>
      </w:r>
      <w:r w:rsidR="001311A3" w:rsidRPr="00C01AF9">
        <w:rPr>
          <w:rFonts w:ascii="garamond" w:eastAsia="Times New Roman" w:hAnsi="garamond" w:cs="Times New Roman"/>
          <w:color w:val="000000" w:themeColor="text1"/>
        </w:rPr>
        <w:t>reat</w:t>
      </w:r>
      <w:r w:rsidR="001311A3">
        <w:rPr>
          <w:rFonts w:ascii="garamond" w:eastAsia="Times New Roman" w:hAnsi="garamond" w:cs="Times New Roman"/>
          <w:color w:val="000000" w:themeColor="text1"/>
        </w:rPr>
        <w:t>ed</w:t>
      </w:r>
      <w:r w:rsidR="001311A3" w:rsidRPr="00C01AF9">
        <w:rPr>
          <w:rFonts w:ascii="garamond" w:eastAsia="Times New Roman" w:hAnsi="garamond" w:cs="Times New Roman"/>
          <w:color w:val="000000" w:themeColor="text1"/>
        </w:rPr>
        <w:t xml:space="preserve"> this space</w:t>
      </w:r>
      <w:r w:rsidR="001311A3">
        <w:rPr>
          <w:rFonts w:ascii="garamond" w:eastAsia="Times New Roman" w:hAnsi="garamond" w:cs="Times New Roman"/>
          <w:color w:val="000000" w:themeColor="text1"/>
        </w:rPr>
        <w:t xml:space="preserve"> that could easily accommodate the types of care these protesters needed: an atmosphere dedicated to processing and reflecting on trauma in public, private mental health counseling, and legal advice organizations. Their spacemaking </w:t>
      </w:r>
      <w:r w:rsidR="001311A3" w:rsidRPr="00C01AF9">
        <w:rPr>
          <w:rFonts w:ascii="garamond" w:eastAsia="Times New Roman" w:hAnsi="garamond" w:cs="Times New Roman"/>
          <w:color w:val="000000" w:themeColor="text1"/>
        </w:rPr>
        <w:t xml:space="preserve">made it easy and reasonable for </w:t>
      </w:r>
      <w:r w:rsidR="001311A3">
        <w:rPr>
          <w:rFonts w:ascii="garamond" w:eastAsia="Times New Roman" w:hAnsi="garamond" w:cs="Times New Roman"/>
          <w:color w:val="000000" w:themeColor="text1"/>
        </w:rPr>
        <w:t>mourning community members</w:t>
      </w:r>
      <w:r w:rsidR="001311A3" w:rsidRPr="00C01AF9">
        <w:rPr>
          <w:rFonts w:ascii="garamond" w:eastAsia="Times New Roman" w:hAnsi="garamond" w:cs="Times New Roman"/>
          <w:color w:val="000000" w:themeColor="text1"/>
        </w:rPr>
        <w:t xml:space="preserve"> to gather here, when they would </w:t>
      </w:r>
      <w:r w:rsidR="001311A3">
        <w:rPr>
          <w:rFonts w:ascii="garamond" w:eastAsia="Times New Roman" w:hAnsi="garamond" w:cs="Times New Roman"/>
          <w:color w:val="000000" w:themeColor="text1"/>
        </w:rPr>
        <w:t xml:space="preserve">have been very unlikely to if it had remained </w:t>
      </w:r>
      <w:r w:rsidR="001311A3" w:rsidRPr="00C01AF9">
        <w:rPr>
          <w:rFonts w:ascii="garamond" w:eastAsia="Times New Roman" w:hAnsi="garamond" w:cs="Times New Roman"/>
          <w:color w:val="000000" w:themeColor="text1"/>
        </w:rPr>
        <w:t>an empty lot</w:t>
      </w:r>
      <w:r w:rsidR="001311A3">
        <w:rPr>
          <w:rFonts w:ascii="garamond" w:eastAsia="Times New Roman" w:hAnsi="garamond" w:cs="Times New Roman"/>
          <w:color w:val="000000" w:themeColor="text1"/>
        </w:rPr>
        <w:t xml:space="preserve">. The flexible nature of the space makes it suitable to responding to changing community demands and allows for greater experimentation.  </w:t>
      </w:r>
    </w:p>
    <w:p w14:paraId="35D78824" w14:textId="77777777" w:rsidR="00805CED" w:rsidRDefault="00805CED" w:rsidP="00805CED">
      <w:pPr>
        <w:ind w:firstLine="720"/>
        <w:rPr>
          <w:rFonts w:ascii="garamond" w:hAnsi="garamond"/>
          <w:color w:val="000000" w:themeColor="text1"/>
        </w:rPr>
      </w:pPr>
      <w:r w:rsidRPr="001C2338">
        <w:rPr>
          <w:rFonts w:ascii="garamond" w:hAnsi="garamond"/>
          <w:color w:val="000000" w:themeColor="text1"/>
        </w:rPr>
        <w:t xml:space="preserve">By creating the spatial conditions for alternative paradigms of mental health care, the </w:t>
      </w:r>
      <w:r>
        <w:rPr>
          <w:rFonts w:ascii="garamond" w:hAnsi="garamond"/>
          <w:color w:val="000000" w:themeColor="text1"/>
        </w:rPr>
        <w:t xml:space="preserve">Healing Village </w:t>
      </w:r>
      <w:r w:rsidRPr="001C2338">
        <w:rPr>
          <w:rFonts w:ascii="garamond" w:hAnsi="garamond"/>
          <w:color w:val="000000" w:themeColor="text1"/>
        </w:rPr>
        <w:t>protest space allow</w:t>
      </w:r>
      <w:r>
        <w:rPr>
          <w:rFonts w:ascii="garamond" w:hAnsi="garamond"/>
          <w:color w:val="000000" w:themeColor="text1"/>
        </w:rPr>
        <w:t>ed</w:t>
      </w:r>
      <w:r w:rsidRPr="001C2338">
        <w:rPr>
          <w:rFonts w:ascii="garamond" w:hAnsi="garamond"/>
          <w:color w:val="000000" w:themeColor="text1"/>
        </w:rPr>
        <w:t xml:space="preserve"> participants to </w:t>
      </w:r>
      <w:r>
        <w:rPr>
          <w:rFonts w:ascii="garamond" w:hAnsi="garamond"/>
          <w:color w:val="000000" w:themeColor="text1"/>
        </w:rPr>
        <w:t>model</w:t>
      </w:r>
      <w:r w:rsidRPr="001C2338">
        <w:rPr>
          <w:rFonts w:ascii="garamond" w:hAnsi="garamond"/>
          <w:color w:val="000000" w:themeColor="text1"/>
        </w:rPr>
        <w:t xml:space="preserve"> their </w:t>
      </w:r>
      <w:r>
        <w:rPr>
          <w:rFonts w:ascii="garamond" w:hAnsi="garamond"/>
          <w:color w:val="000000" w:themeColor="text1"/>
        </w:rPr>
        <w:t xml:space="preserve">political visions </w:t>
      </w:r>
      <w:r w:rsidRPr="001C2338">
        <w:rPr>
          <w:rFonts w:ascii="garamond" w:hAnsi="garamond"/>
          <w:color w:val="000000" w:themeColor="text1"/>
        </w:rPr>
        <w:t>and to glimpse seemingly impossible futures, which</w:t>
      </w:r>
      <w:r>
        <w:rPr>
          <w:rFonts w:ascii="garamond" w:hAnsi="garamond"/>
          <w:color w:val="000000" w:themeColor="text1"/>
        </w:rPr>
        <w:t xml:space="preserve"> came into focus and appeared closer than they had been before</w:t>
      </w:r>
      <w:r w:rsidRPr="001C2338">
        <w:rPr>
          <w:rFonts w:ascii="garamond" w:hAnsi="garamond"/>
          <w:color w:val="000000" w:themeColor="text1"/>
        </w:rPr>
        <w:t>. In these bounded spaces</w:t>
      </w:r>
      <w:r>
        <w:rPr>
          <w:rFonts w:ascii="garamond" w:hAnsi="garamond"/>
          <w:color w:val="000000" w:themeColor="text1"/>
        </w:rPr>
        <w:t xml:space="preserve">, </w:t>
      </w:r>
      <w:r w:rsidRPr="001C2338">
        <w:rPr>
          <w:rFonts w:ascii="garamond" w:hAnsi="garamond"/>
          <w:color w:val="000000" w:themeColor="text1"/>
        </w:rPr>
        <w:t xml:space="preserve">structured by ad hoc architecture designed for mutual aid provision and community activities, immersed in a symbolic environment of experimentation and interdependence, participants </w:t>
      </w:r>
      <w:r>
        <w:rPr>
          <w:rFonts w:ascii="garamond" w:hAnsi="garamond"/>
          <w:color w:val="000000" w:themeColor="text1"/>
        </w:rPr>
        <w:t>briefly inhabit new political worlds</w:t>
      </w:r>
      <w:r w:rsidRPr="001C2338">
        <w:rPr>
          <w:rFonts w:ascii="garamond" w:hAnsi="garamond"/>
          <w:color w:val="000000" w:themeColor="text1"/>
        </w:rPr>
        <w:t xml:space="preserve">. The activities and attitudes that define everyday life shift and are naturalized through our inhabitation of them; and as our idea of what is </w:t>
      </w:r>
      <w:r>
        <w:rPr>
          <w:rFonts w:ascii="garamond" w:hAnsi="garamond"/>
          <w:color w:val="000000" w:themeColor="text1"/>
        </w:rPr>
        <w:t xml:space="preserve">real and </w:t>
      </w:r>
      <w:r w:rsidRPr="001C2338">
        <w:rPr>
          <w:rFonts w:ascii="garamond" w:hAnsi="garamond"/>
          <w:color w:val="000000" w:themeColor="text1"/>
        </w:rPr>
        <w:t xml:space="preserve">natural in the social world shifts, so does our understanding of the horizons of possibility for the future. </w:t>
      </w:r>
      <w:r>
        <w:rPr>
          <w:rFonts w:ascii="garamond" w:hAnsi="garamond"/>
          <w:color w:val="000000" w:themeColor="text1"/>
        </w:rPr>
        <w:t>By u</w:t>
      </w:r>
      <w:r w:rsidRPr="001C2338">
        <w:rPr>
          <w:rFonts w:ascii="garamond" w:hAnsi="garamond"/>
          <w:color w:val="000000" w:themeColor="text1"/>
        </w:rPr>
        <w:t xml:space="preserve">nderstanding the role that space plays in </w:t>
      </w:r>
      <w:r>
        <w:rPr>
          <w:rFonts w:ascii="garamond" w:hAnsi="garamond"/>
          <w:color w:val="000000" w:themeColor="text1"/>
        </w:rPr>
        <w:t>orchestrating experience</w:t>
      </w:r>
      <w:r w:rsidRPr="001C2338">
        <w:rPr>
          <w:rFonts w:ascii="garamond" w:hAnsi="garamond"/>
          <w:color w:val="000000" w:themeColor="text1"/>
        </w:rPr>
        <w:t xml:space="preserve">, and </w:t>
      </w:r>
      <w:r>
        <w:rPr>
          <w:rFonts w:ascii="garamond" w:hAnsi="garamond"/>
          <w:color w:val="000000" w:themeColor="text1"/>
        </w:rPr>
        <w:t>the relationship between experience and our framing of possibility</w:t>
      </w:r>
      <w:r w:rsidRPr="001C2338">
        <w:rPr>
          <w:rFonts w:ascii="garamond" w:hAnsi="garamond"/>
          <w:color w:val="000000" w:themeColor="text1"/>
        </w:rPr>
        <w:t xml:space="preserve">, </w:t>
      </w:r>
      <w:r>
        <w:rPr>
          <w:rFonts w:ascii="garamond" w:hAnsi="garamond"/>
          <w:color w:val="000000" w:themeColor="text1"/>
        </w:rPr>
        <w:t>we are then able</w:t>
      </w:r>
      <w:r w:rsidRPr="001C2338">
        <w:rPr>
          <w:rFonts w:ascii="garamond" w:hAnsi="garamond"/>
          <w:color w:val="000000" w:themeColor="text1"/>
        </w:rPr>
        <w:t xml:space="preserve"> to see the entwined nature of practical tactics and imaginative work in the repertoires of social movements. </w:t>
      </w:r>
    </w:p>
    <w:p w14:paraId="73B5B263" w14:textId="53184B82" w:rsidR="003D359A" w:rsidRPr="00805CED" w:rsidRDefault="00805CED" w:rsidP="00805CED">
      <w:pPr>
        <w:ind w:firstLine="720"/>
        <w:rPr>
          <w:rFonts w:ascii="garamond" w:eastAsia="Times New Roman" w:hAnsi="garamond" w:cs="Times New Roman"/>
          <w:color w:val="000000" w:themeColor="text1"/>
        </w:rPr>
      </w:pPr>
      <w:r w:rsidRPr="001C2338">
        <w:rPr>
          <w:rFonts w:ascii="garamond" w:eastAsia="Times New Roman" w:hAnsi="garamond" w:cs="Times New Roman"/>
          <w:color w:val="000000" w:themeColor="text1"/>
        </w:rPr>
        <w:t>After occupying the</w:t>
      </w:r>
      <w:r>
        <w:rPr>
          <w:rFonts w:ascii="garamond" w:eastAsia="Times New Roman" w:hAnsi="garamond" w:cs="Times New Roman"/>
          <w:color w:val="000000" w:themeColor="text1"/>
        </w:rPr>
        <w:t>ir</w:t>
      </w:r>
      <w:r w:rsidRPr="001C2338">
        <w:rPr>
          <w:rFonts w:ascii="garamond" w:eastAsia="Times New Roman" w:hAnsi="garamond" w:cs="Times New Roman"/>
          <w:color w:val="000000" w:themeColor="text1"/>
        </w:rPr>
        <w:t xml:space="preserve"> site for </w:t>
      </w:r>
      <w:r>
        <w:rPr>
          <w:rFonts w:ascii="garamond" w:eastAsia="Times New Roman" w:hAnsi="garamond" w:cs="Times New Roman"/>
          <w:color w:val="000000" w:themeColor="text1"/>
        </w:rPr>
        <w:t>more than a month</w:t>
      </w:r>
      <w:r w:rsidRPr="001C2338">
        <w:rPr>
          <w:rFonts w:ascii="garamond" w:eastAsia="Times New Roman" w:hAnsi="garamond" w:cs="Times New Roman"/>
          <w:color w:val="000000" w:themeColor="text1"/>
        </w:rPr>
        <w:t>, the Healing Village was forced to evacuate the Woodlawn lot after a bitter battle with the local alderman (who was later convicted of unrelated federal charges of embezzlement</w:t>
      </w:r>
      <w:r>
        <w:rPr>
          <w:rFonts w:ascii="garamond" w:eastAsia="Times New Roman" w:hAnsi="garamond" w:cs="Times New Roman"/>
          <w:color w:val="000000" w:themeColor="text1"/>
        </w:rPr>
        <w:t>, in the grand tradition of Chicago politicians).</w:t>
      </w:r>
      <w:r>
        <w:rPr>
          <w:rStyle w:val="FootnoteReference"/>
          <w:rFonts w:ascii="garamond" w:eastAsia="Times New Roman" w:hAnsi="garamond" w:cs="Times New Roman"/>
          <w:color w:val="000000" w:themeColor="text1"/>
        </w:rPr>
        <w:footnoteReference w:id="66"/>
      </w:r>
      <w:r>
        <w:rPr>
          <w:rFonts w:ascii="garamond" w:eastAsia="Times New Roman" w:hAnsi="garamond" w:cs="Times New Roman"/>
          <w:color w:val="000000" w:themeColor="text1"/>
        </w:rPr>
        <w:t xml:space="preserve"> In the face of eviction, o</w:t>
      </w:r>
      <w:r w:rsidRPr="001C2338">
        <w:rPr>
          <w:rFonts w:ascii="garamond" w:eastAsia="Times New Roman" w:hAnsi="garamond" w:cs="Times New Roman"/>
          <w:color w:val="000000" w:themeColor="text1"/>
        </w:rPr>
        <w:t xml:space="preserve">rganizers </w:t>
      </w:r>
      <w:r>
        <w:rPr>
          <w:rFonts w:ascii="garamond" w:eastAsia="Times New Roman" w:hAnsi="garamond" w:cs="Times New Roman"/>
          <w:color w:val="000000" w:themeColor="text1"/>
        </w:rPr>
        <w:t>declared</w:t>
      </w:r>
      <w:r w:rsidRPr="001C2338">
        <w:rPr>
          <w:rFonts w:ascii="garamond" w:eastAsia="Times New Roman" w:hAnsi="garamond" w:cs="Times New Roman"/>
          <w:color w:val="000000" w:themeColor="text1"/>
        </w:rPr>
        <w:t xml:space="preserve"> that </w:t>
      </w:r>
      <w:r w:rsidRPr="001C2338">
        <w:rPr>
          <w:rFonts w:ascii="garamond" w:hAnsi="garamond"/>
          <w:color w:val="000000" w:themeColor="text1"/>
        </w:rPr>
        <w:t>“even if the city takes the group’s tents away, the sense of community that has been built there will remain.”</w:t>
      </w:r>
      <w:r w:rsidRPr="001C2338">
        <w:rPr>
          <w:rStyle w:val="FootnoteReference"/>
          <w:rFonts w:ascii="garamond" w:hAnsi="garamond"/>
          <w:color w:val="000000" w:themeColor="text1"/>
        </w:rPr>
        <w:footnoteReference w:id="67"/>
      </w:r>
      <w:r w:rsidRPr="001C2338">
        <w:rPr>
          <w:rFonts w:ascii="garamond" w:hAnsi="garamond"/>
          <w:color w:val="000000" w:themeColor="text1"/>
        </w:rPr>
        <w:t xml:space="preserve"> Activist Amika Tendaji </w:t>
      </w:r>
      <w:r>
        <w:rPr>
          <w:rFonts w:ascii="garamond" w:hAnsi="garamond"/>
          <w:color w:val="000000" w:themeColor="text1"/>
        </w:rPr>
        <w:t>declared</w:t>
      </w:r>
      <w:r w:rsidRPr="001C2338">
        <w:rPr>
          <w:rFonts w:ascii="garamond" w:hAnsi="garamond"/>
          <w:color w:val="000000" w:themeColor="text1"/>
        </w:rPr>
        <w:t xml:space="preserve"> that “certainly </w:t>
      </w:r>
      <w:r w:rsidRPr="001C2338">
        <w:rPr>
          <w:rFonts w:ascii="garamond" w:hAnsi="garamond"/>
          <w:color w:val="000000" w:themeColor="text1"/>
        </w:rPr>
        <w:lastRenderedPageBreak/>
        <w:t>the structures can be taken away [but] the community has really embraced this space and we feel as organizers — people whose job is to respond to the demands and requests of the community — we’re going to have to figure out something to keep this active.”</w:t>
      </w:r>
      <w:r w:rsidRPr="001C2338">
        <w:rPr>
          <w:rStyle w:val="FootnoteReference"/>
          <w:rFonts w:ascii="garamond" w:hAnsi="garamond"/>
          <w:color w:val="000000" w:themeColor="text1"/>
        </w:rPr>
        <w:footnoteReference w:id="68"/>
      </w:r>
      <w:r w:rsidRPr="001C2338">
        <w:rPr>
          <w:rFonts w:ascii="garamond" w:hAnsi="garamond"/>
          <w:color w:val="000000" w:themeColor="text1"/>
        </w:rPr>
        <w:t xml:space="preserve"> In </w:t>
      </w:r>
      <w:r>
        <w:rPr>
          <w:rFonts w:ascii="garamond" w:hAnsi="garamond"/>
          <w:color w:val="000000" w:themeColor="text1"/>
        </w:rPr>
        <w:t>subsequent years</w:t>
      </w:r>
      <w:r w:rsidRPr="001C2338">
        <w:rPr>
          <w:rFonts w:ascii="garamond" w:hAnsi="garamond"/>
          <w:color w:val="000000" w:themeColor="text1"/>
        </w:rPr>
        <w:t>, the Healing Village model was adopted by</w:t>
      </w:r>
      <w:r w:rsidRPr="001C2338">
        <w:rPr>
          <w:rFonts w:ascii="garamond" w:eastAsia="Times New Roman" w:hAnsi="garamond" w:cs="Times New Roman"/>
          <w:color w:val="000000" w:themeColor="text1"/>
        </w:rPr>
        <w:t xml:space="preserve"> the Collaborative for Community Wellness (CCW), another local group dedicated to bringing more mental health resources to the underserved communities of the South and West Sides of Chicago. In their current iteration, the </w:t>
      </w:r>
      <w:r>
        <w:rPr>
          <w:rFonts w:ascii="garamond" w:eastAsia="Times New Roman" w:hAnsi="garamond" w:cs="Times New Roman"/>
          <w:color w:val="000000" w:themeColor="text1"/>
        </w:rPr>
        <w:t xml:space="preserve">CCW runs a series of </w:t>
      </w:r>
      <w:r w:rsidRPr="001C2338">
        <w:rPr>
          <w:rFonts w:ascii="garamond" w:eastAsia="Times New Roman" w:hAnsi="garamond" w:cs="Times New Roman"/>
          <w:color w:val="000000" w:themeColor="text1"/>
        </w:rPr>
        <w:t>Healing Villages</w:t>
      </w:r>
      <w:r>
        <w:rPr>
          <w:rFonts w:ascii="garamond" w:eastAsia="Times New Roman" w:hAnsi="garamond" w:cs="Times New Roman"/>
          <w:color w:val="000000" w:themeColor="text1"/>
        </w:rPr>
        <w:t xml:space="preserve"> which</w:t>
      </w:r>
      <w:r w:rsidRPr="001C2338">
        <w:rPr>
          <w:rFonts w:ascii="garamond" w:eastAsia="Times New Roman" w:hAnsi="garamond" w:cs="Times New Roman"/>
          <w:color w:val="000000" w:themeColor="text1"/>
        </w:rPr>
        <w:t xml:space="preserve"> consist of temporary installations at a rotating series of community locations, from parking lots to libraries and senior centers. In addition to information about accessing mental health resources, volunteers provide services and activities that depend on location and availability but have included mental health screenings, acupuncture, and free food. CCW executive director Arturo Carrillo explained that community-based care that responds to the root causes of poor mental health is necessary, even when </w:t>
      </w:r>
      <w:r>
        <w:rPr>
          <w:rFonts w:ascii="garamond" w:eastAsia="Times New Roman" w:hAnsi="garamond" w:cs="Times New Roman"/>
          <w:color w:val="000000" w:themeColor="text1"/>
        </w:rPr>
        <w:t xml:space="preserve">at times it </w:t>
      </w:r>
      <w:r w:rsidRPr="001C2338">
        <w:rPr>
          <w:rFonts w:ascii="garamond" w:eastAsia="Times New Roman" w:hAnsi="garamond" w:cs="Times New Roman"/>
          <w:color w:val="000000" w:themeColor="text1"/>
        </w:rPr>
        <w:t>seems impossible to achieve that change through city government. “Reopening clinics is a vital part of creating a safe healing city. And until you do so, we have to create these visionary spaces of healing.”</w:t>
      </w:r>
      <w:r>
        <w:rPr>
          <w:rStyle w:val="FootnoteReference"/>
          <w:rFonts w:ascii="garamond" w:eastAsia="Times New Roman" w:hAnsi="garamond" w:cs="Times New Roman"/>
          <w:color w:val="000000" w:themeColor="text1"/>
        </w:rPr>
        <w:footnoteReference w:id="69"/>
      </w:r>
      <w:r w:rsidRPr="001C2338">
        <w:rPr>
          <w:rFonts w:ascii="garamond" w:eastAsia="Times New Roman" w:hAnsi="garamond" w:cs="Times New Roman"/>
          <w:color w:val="000000" w:themeColor="text1"/>
        </w:rPr>
        <w:t xml:space="preserve"> </w:t>
      </w:r>
    </w:p>
    <w:p w14:paraId="4F19255C" w14:textId="0EA71C3B" w:rsidR="00E52CA3" w:rsidRPr="00B34E0D" w:rsidRDefault="00C20401" w:rsidP="00B34E0D">
      <w:pPr>
        <w:pStyle w:val="Heading1"/>
        <w:rPr>
          <w:rFonts w:ascii="garamond" w:hAnsi="garamond"/>
          <w:b/>
          <w:bCs/>
          <w:color w:val="auto"/>
          <w:sz w:val="24"/>
          <w:szCs w:val="24"/>
        </w:rPr>
      </w:pPr>
      <w:r w:rsidRPr="00C20401">
        <w:rPr>
          <w:rFonts w:ascii="garamond" w:hAnsi="garamond"/>
          <w:b/>
          <w:bCs/>
          <w:color w:val="auto"/>
          <w:sz w:val="24"/>
          <w:szCs w:val="24"/>
        </w:rPr>
        <w:t xml:space="preserve">Conclusion </w:t>
      </w:r>
    </w:p>
    <w:p w14:paraId="28CD2E8E" w14:textId="0AC426AA" w:rsidR="00857E49" w:rsidRPr="005542B5" w:rsidRDefault="00857E49" w:rsidP="00857E49">
      <w:pPr>
        <w:ind w:firstLine="720"/>
        <w:rPr>
          <w:rFonts w:ascii="garamond" w:hAnsi="garamond"/>
        </w:rPr>
      </w:pPr>
      <w:r>
        <w:rPr>
          <w:rFonts w:ascii="garamond" w:hAnsi="garamond"/>
        </w:rPr>
        <w:t>S</w:t>
      </w:r>
      <w:r w:rsidRPr="005542B5">
        <w:rPr>
          <w:rFonts w:ascii="garamond" w:hAnsi="garamond"/>
        </w:rPr>
        <w:t xml:space="preserve">patial occupations offer embodied experience in political alternatives. </w:t>
      </w:r>
      <w:r w:rsidR="00E75761">
        <w:rPr>
          <w:rFonts w:ascii="garamond" w:hAnsi="garamond"/>
        </w:rPr>
        <w:t xml:space="preserve">By </w:t>
      </w:r>
      <w:r>
        <w:rPr>
          <w:rFonts w:ascii="garamond" w:hAnsi="garamond"/>
        </w:rPr>
        <w:t xml:space="preserve">denaturalizing the built environment, </w:t>
      </w:r>
      <w:r w:rsidRPr="005542B5">
        <w:rPr>
          <w:rFonts w:ascii="garamond" w:hAnsi="garamond"/>
        </w:rPr>
        <w:t>conducting experience, carrying the authority of materiality</w:t>
      </w:r>
      <w:r>
        <w:rPr>
          <w:rFonts w:ascii="garamond" w:hAnsi="garamond"/>
        </w:rPr>
        <w:t>, and facilitating political experimentation</w:t>
      </w:r>
      <w:r w:rsidRPr="005542B5">
        <w:rPr>
          <w:rFonts w:ascii="garamond" w:hAnsi="garamond"/>
        </w:rPr>
        <w:t xml:space="preserve"> these protest occupations </w:t>
      </w:r>
      <w:r w:rsidR="00E75761">
        <w:rPr>
          <w:rFonts w:ascii="garamond" w:hAnsi="garamond"/>
        </w:rPr>
        <w:t>shift the figuration of the present and the future</w:t>
      </w:r>
      <w:r w:rsidRPr="005542B5">
        <w:rPr>
          <w:rFonts w:ascii="garamond" w:hAnsi="garamond"/>
        </w:rPr>
        <w:t xml:space="preserve">. In other words, these spaces </w:t>
      </w:r>
      <w:r w:rsidRPr="008B042B">
        <w:rPr>
          <w:rFonts w:ascii="garamond" w:hAnsi="garamond"/>
          <w:i/>
          <w:iCs/>
        </w:rPr>
        <w:t>make</w:t>
      </w:r>
      <w:r w:rsidRPr="005542B5">
        <w:rPr>
          <w:rFonts w:ascii="garamond" w:hAnsi="garamond"/>
        </w:rPr>
        <w:t xml:space="preserve"> believe, indicating the entwined character of spatial frames of experience and our interpretation of political possibility. </w:t>
      </w:r>
      <w:r w:rsidR="00E75761">
        <w:rPr>
          <w:rFonts w:ascii="garamond" w:hAnsi="garamond"/>
        </w:rPr>
        <w:t xml:space="preserve">Understanding protest spaces within this worldmaking framework help us make sense of activists’ ambitious claims about </w:t>
      </w:r>
      <w:r w:rsidR="00365756">
        <w:rPr>
          <w:rFonts w:ascii="garamond" w:hAnsi="garamond"/>
        </w:rPr>
        <w:t xml:space="preserve">protest occupations. It may at first seem strange to view protests </w:t>
      </w:r>
      <w:r w:rsidR="001311A3">
        <w:rPr>
          <w:rFonts w:ascii="garamond" w:hAnsi="garamond"/>
        </w:rPr>
        <w:t>prioritizing</w:t>
      </w:r>
      <w:r w:rsidR="00365756">
        <w:rPr>
          <w:rFonts w:ascii="garamond" w:hAnsi="garamond"/>
        </w:rPr>
        <w:t xml:space="preserve"> cultivating community and hosting </w:t>
      </w:r>
      <w:r w:rsidR="001311A3">
        <w:rPr>
          <w:rFonts w:ascii="garamond" w:hAnsi="garamond"/>
        </w:rPr>
        <w:t xml:space="preserve">a diverse program of </w:t>
      </w:r>
      <w:r w:rsidR="00365756">
        <w:rPr>
          <w:rFonts w:ascii="garamond" w:hAnsi="garamond"/>
        </w:rPr>
        <w:t xml:space="preserve">activities over disruption or articulating policy demands. However, </w:t>
      </w:r>
      <w:r w:rsidR="00D97098">
        <w:rPr>
          <w:rFonts w:ascii="garamond" w:hAnsi="garamond"/>
        </w:rPr>
        <w:t xml:space="preserve">these occupations make more sense if </w:t>
      </w:r>
      <w:r w:rsidR="00365756">
        <w:rPr>
          <w:rFonts w:ascii="garamond" w:hAnsi="garamond"/>
        </w:rPr>
        <w:t xml:space="preserve">we understand spacemaking as </w:t>
      </w:r>
      <w:r w:rsidR="00D97098">
        <w:rPr>
          <w:rFonts w:ascii="garamond" w:hAnsi="garamond"/>
        </w:rPr>
        <w:t>a tactic dedicated</w:t>
      </w:r>
      <w:r w:rsidR="00365756">
        <w:rPr>
          <w:rFonts w:ascii="garamond" w:hAnsi="garamond"/>
        </w:rPr>
        <w:t xml:space="preserve"> </w:t>
      </w:r>
      <w:r w:rsidR="00D97098">
        <w:rPr>
          <w:rFonts w:ascii="garamond" w:hAnsi="garamond"/>
        </w:rPr>
        <w:t xml:space="preserve">to fostering critical analysis of the surrounding built environment and cultivating an expanded political imagination. Activists involved in organizing these occupations were clear about their goals. </w:t>
      </w:r>
      <w:r w:rsidR="00365756">
        <w:rPr>
          <w:rFonts w:ascii="garamond" w:hAnsi="garamond"/>
        </w:rPr>
        <w:t xml:space="preserve">Commenting on the Freedom Square occupation, </w:t>
      </w:r>
      <w:r w:rsidR="00365756" w:rsidRPr="00365756">
        <w:rPr>
          <w:rFonts w:ascii="garamond" w:hAnsi="garamond"/>
        </w:rPr>
        <w:t xml:space="preserve">activist Bella BAHHS hoped that the protest would “[urge] the country to critically examine the world we exist in and to radically re/imagine the world we want to create.”  </w:t>
      </w:r>
    </w:p>
    <w:p w14:paraId="0827585C" w14:textId="25B512BE" w:rsidR="00DA557B" w:rsidRPr="00571B21" w:rsidRDefault="00DA557B" w:rsidP="00DA557B">
      <w:pPr>
        <w:pStyle w:val="NormalWeb"/>
        <w:spacing w:before="0" w:beforeAutospacing="0" w:after="0" w:afterAutospacing="0"/>
        <w:ind w:firstLine="720"/>
        <w:rPr>
          <w:rFonts w:ascii="garamond" w:hAnsi="garamond"/>
          <w:color w:val="000000" w:themeColor="text1"/>
        </w:rPr>
      </w:pPr>
      <w:r w:rsidRPr="001C2338">
        <w:rPr>
          <w:rFonts w:ascii="garamond" w:hAnsi="garamond"/>
          <w:color w:val="000000" w:themeColor="text1"/>
        </w:rPr>
        <w:t xml:space="preserve">In this </w:t>
      </w:r>
      <w:r w:rsidR="00ED4167">
        <w:rPr>
          <w:rFonts w:ascii="garamond" w:hAnsi="garamond"/>
          <w:color w:val="000000" w:themeColor="text1"/>
        </w:rPr>
        <w:t>article,</w:t>
      </w:r>
      <w:r w:rsidRPr="001C2338">
        <w:rPr>
          <w:rFonts w:ascii="garamond" w:hAnsi="garamond"/>
          <w:color w:val="000000" w:themeColor="text1"/>
        </w:rPr>
        <w:t xml:space="preserve"> I have emphasized the promise of these </w:t>
      </w:r>
      <w:r>
        <w:rPr>
          <w:rFonts w:ascii="garamond" w:hAnsi="garamond"/>
          <w:color w:val="000000" w:themeColor="text1"/>
        </w:rPr>
        <w:t>protest</w:t>
      </w:r>
      <w:r w:rsidRPr="001C2338">
        <w:rPr>
          <w:rFonts w:ascii="garamond" w:hAnsi="garamond"/>
          <w:color w:val="000000" w:themeColor="text1"/>
        </w:rPr>
        <w:t xml:space="preserve"> occupations in order to show that hope is educated in </w:t>
      </w:r>
      <w:r>
        <w:rPr>
          <w:rFonts w:ascii="garamond" w:hAnsi="garamond"/>
          <w:color w:val="000000" w:themeColor="text1"/>
        </w:rPr>
        <w:t xml:space="preserve">environmental </w:t>
      </w:r>
      <w:r w:rsidRPr="001C2338">
        <w:rPr>
          <w:rFonts w:ascii="garamond" w:hAnsi="garamond"/>
          <w:color w:val="000000" w:themeColor="text1"/>
        </w:rPr>
        <w:t xml:space="preserve">experience, and </w:t>
      </w:r>
      <w:r>
        <w:rPr>
          <w:rFonts w:ascii="garamond" w:hAnsi="garamond"/>
          <w:color w:val="000000" w:themeColor="text1"/>
        </w:rPr>
        <w:t>environments</w:t>
      </w:r>
      <w:r w:rsidRPr="001C2338">
        <w:rPr>
          <w:rFonts w:ascii="garamond" w:hAnsi="garamond"/>
          <w:color w:val="000000" w:themeColor="text1"/>
        </w:rPr>
        <w:t xml:space="preserve"> can be built by activists as well as urban planners. </w:t>
      </w:r>
      <w:r>
        <w:rPr>
          <w:rFonts w:ascii="garamond" w:hAnsi="garamond"/>
          <w:color w:val="000000" w:themeColor="text1"/>
        </w:rPr>
        <w:t xml:space="preserve">Despite </w:t>
      </w:r>
      <w:r w:rsidR="00FE4644">
        <w:rPr>
          <w:rFonts w:ascii="garamond" w:hAnsi="garamond"/>
          <w:color w:val="000000" w:themeColor="text1"/>
        </w:rPr>
        <w:t xml:space="preserve">my </w:t>
      </w:r>
      <w:r w:rsidR="005D0581">
        <w:rPr>
          <w:rFonts w:ascii="garamond" w:hAnsi="garamond"/>
          <w:color w:val="000000" w:themeColor="text1"/>
        </w:rPr>
        <w:t>focus on progressive protest occupations</w:t>
      </w:r>
      <w:r w:rsidRPr="001C2338">
        <w:rPr>
          <w:rFonts w:ascii="garamond" w:hAnsi="garamond"/>
          <w:color w:val="000000" w:themeColor="text1"/>
        </w:rPr>
        <w:t xml:space="preserve">, these lessons about </w:t>
      </w:r>
      <w:r w:rsidR="00FE4644">
        <w:rPr>
          <w:rFonts w:ascii="garamond" w:hAnsi="garamond"/>
          <w:color w:val="000000" w:themeColor="text1"/>
        </w:rPr>
        <w:t xml:space="preserve">the way spatial transformation is used to </w:t>
      </w:r>
      <w:r w:rsidR="005D0581">
        <w:rPr>
          <w:rFonts w:ascii="garamond" w:hAnsi="garamond"/>
          <w:color w:val="000000" w:themeColor="text1"/>
        </w:rPr>
        <w:t>denaturaliz</w:t>
      </w:r>
      <w:r w:rsidR="00FE4644">
        <w:rPr>
          <w:rFonts w:ascii="garamond" w:hAnsi="garamond"/>
          <w:color w:val="000000" w:themeColor="text1"/>
        </w:rPr>
        <w:t>e</w:t>
      </w:r>
      <w:r w:rsidR="005D0581">
        <w:rPr>
          <w:rFonts w:ascii="garamond" w:hAnsi="garamond"/>
          <w:color w:val="000000" w:themeColor="text1"/>
        </w:rPr>
        <w:t xml:space="preserve"> the built environment and </w:t>
      </w:r>
      <w:r w:rsidRPr="001C2338">
        <w:rPr>
          <w:rFonts w:ascii="garamond" w:hAnsi="garamond"/>
          <w:color w:val="000000" w:themeColor="text1"/>
        </w:rPr>
        <w:t>bring</w:t>
      </w:r>
      <w:r w:rsidR="00FE4644">
        <w:rPr>
          <w:rFonts w:ascii="garamond" w:hAnsi="garamond"/>
          <w:color w:val="000000" w:themeColor="text1"/>
        </w:rPr>
        <w:t xml:space="preserve"> </w:t>
      </w:r>
      <w:r w:rsidR="005D0581">
        <w:rPr>
          <w:rFonts w:ascii="garamond" w:hAnsi="garamond"/>
          <w:color w:val="000000" w:themeColor="text1"/>
        </w:rPr>
        <w:t>ambitious</w:t>
      </w:r>
      <w:r w:rsidRPr="001C2338">
        <w:rPr>
          <w:rFonts w:ascii="garamond" w:hAnsi="garamond"/>
          <w:color w:val="000000" w:themeColor="text1"/>
        </w:rPr>
        <w:t xml:space="preserve"> visions </w:t>
      </w:r>
      <w:r w:rsidR="005D0581">
        <w:rPr>
          <w:rFonts w:ascii="garamond" w:hAnsi="garamond"/>
          <w:color w:val="000000" w:themeColor="text1"/>
        </w:rPr>
        <w:t xml:space="preserve">of </w:t>
      </w:r>
      <w:r w:rsidR="00FE4644">
        <w:rPr>
          <w:rFonts w:ascii="garamond" w:hAnsi="garamond"/>
          <w:color w:val="000000" w:themeColor="text1"/>
        </w:rPr>
        <w:t>political change</w:t>
      </w:r>
      <w:r w:rsidR="005D0581">
        <w:rPr>
          <w:rFonts w:ascii="garamond" w:hAnsi="garamond"/>
          <w:color w:val="000000" w:themeColor="text1"/>
        </w:rPr>
        <w:t xml:space="preserve"> into view</w:t>
      </w:r>
      <w:r w:rsidRPr="001C2338">
        <w:rPr>
          <w:rFonts w:ascii="garamond" w:hAnsi="garamond"/>
          <w:color w:val="000000" w:themeColor="text1"/>
        </w:rPr>
        <w:t xml:space="preserve"> do not apply </w:t>
      </w:r>
      <w:r>
        <w:rPr>
          <w:rFonts w:ascii="garamond" w:hAnsi="garamond"/>
          <w:color w:val="000000" w:themeColor="text1"/>
        </w:rPr>
        <w:t xml:space="preserve">only </w:t>
      </w:r>
      <w:r w:rsidRPr="001C2338">
        <w:rPr>
          <w:rFonts w:ascii="garamond" w:hAnsi="garamond"/>
          <w:color w:val="000000" w:themeColor="text1"/>
        </w:rPr>
        <w:t>to socially progressive movements, but can also be wielded across the political spectrum</w:t>
      </w:r>
      <w:r>
        <w:rPr>
          <w:rFonts w:ascii="garamond" w:hAnsi="garamond"/>
          <w:color w:val="000000" w:themeColor="text1"/>
        </w:rPr>
        <w:t>.</w:t>
      </w:r>
      <w:r>
        <w:rPr>
          <w:rStyle w:val="FootnoteReference"/>
          <w:rFonts w:ascii="garamond" w:hAnsi="garamond"/>
          <w:color w:val="000000" w:themeColor="text1"/>
        </w:rPr>
        <w:footnoteReference w:id="70"/>
      </w:r>
      <w:r w:rsidRPr="001C2338">
        <w:rPr>
          <w:rFonts w:ascii="garamond" w:hAnsi="garamond"/>
          <w:color w:val="000000" w:themeColor="text1"/>
        </w:rPr>
        <w:t xml:space="preserve"> Further, the</w:t>
      </w:r>
      <w:r w:rsidR="005D0581">
        <w:rPr>
          <w:rFonts w:ascii="garamond" w:hAnsi="garamond"/>
          <w:color w:val="000000" w:themeColor="text1"/>
        </w:rPr>
        <w:t xml:space="preserve"> growing prominence of protest occupations as </w:t>
      </w:r>
      <w:r w:rsidRPr="001C2338">
        <w:rPr>
          <w:rFonts w:ascii="garamond" w:hAnsi="garamond"/>
          <w:color w:val="000000" w:themeColor="text1"/>
        </w:rPr>
        <w:t xml:space="preserve">utopian experiments should also be understood as a reflection of the </w:t>
      </w:r>
      <w:r>
        <w:rPr>
          <w:rFonts w:ascii="garamond" w:hAnsi="garamond"/>
          <w:color w:val="000000" w:themeColor="text1"/>
        </w:rPr>
        <w:t>fundamental failures</w:t>
      </w:r>
      <w:r w:rsidRPr="001C2338">
        <w:rPr>
          <w:rFonts w:ascii="garamond" w:hAnsi="garamond"/>
          <w:color w:val="000000" w:themeColor="text1"/>
        </w:rPr>
        <w:t xml:space="preserve"> of the broader </w:t>
      </w:r>
      <w:r w:rsidR="00ED4167">
        <w:rPr>
          <w:rFonts w:ascii="garamond" w:hAnsi="garamond"/>
          <w:color w:val="000000" w:themeColor="text1"/>
        </w:rPr>
        <w:t>political institutions</w:t>
      </w:r>
      <w:r w:rsidRPr="001C2338">
        <w:rPr>
          <w:rFonts w:ascii="garamond" w:hAnsi="garamond"/>
          <w:color w:val="000000" w:themeColor="text1"/>
        </w:rPr>
        <w:t xml:space="preserve"> </w:t>
      </w:r>
      <w:r w:rsidR="005D0581">
        <w:rPr>
          <w:rFonts w:ascii="garamond" w:hAnsi="garamond"/>
          <w:color w:val="000000" w:themeColor="text1"/>
        </w:rPr>
        <w:t xml:space="preserve">to accommodate a range of political imaginations and a general sense of pessimism about the </w:t>
      </w:r>
      <w:r w:rsidR="001311A3">
        <w:rPr>
          <w:rFonts w:ascii="garamond" w:hAnsi="garamond"/>
          <w:color w:val="000000" w:themeColor="text1"/>
        </w:rPr>
        <w:t>limitations of institutionalized political action</w:t>
      </w:r>
      <w:r w:rsidR="005D0581">
        <w:rPr>
          <w:rFonts w:ascii="garamond" w:hAnsi="garamond"/>
          <w:color w:val="000000" w:themeColor="text1"/>
        </w:rPr>
        <w:t xml:space="preserve">. </w:t>
      </w:r>
    </w:p>
    <w:p w14:paraId="196CFF5F" w14:textId="1D6ACA8B" w:rsidR="009973A0" w:rsidRDefault="00ED4167" w:rsidP="00CA4A3C">
      <w:pPr>
        <w:ind w:firstLine="720"/>
        <w:rPr>
          <w:rFonts w:ascii="garamond" w:eastAsia="Times New Roman" w:hAnsi="garamond" w:cs="Times New Roman"/>
          <w:color w:val="000000" w:themeColor="text1"/>
        </w:rPr>
      </w:pPr>
      <w:r>
        <w:rPr>
          <w:rFonts w:ascii="garamond" w:hAnsi="garamond"/>
          <w:color w:val="000000" w:themeColor="text1"/>
        </w:rPr>
        <w:t>There are further</w:t>
      </w:r>
      <w:r w:rsidR="004B22F5">
        <w:rPr>
          <w:rFonts w:ascii="garamond" w:hAnsi="garamond"/>
          <w:color w:val="000000" w:themeColor="text1"/>
        </w:rPr>
        <w:t xml:space="preserve"> limit</w:t>
      </w:r>
      <w:r>
        <w:rPr>
          <w:rFonts w:ascii="garamond" w:hAnsi="garamond"/>
          <w:color w:val="000000" w:themeColor="text1"/>
        </w:rPr>
        <w:t>ations</w:t>
      </w:r>
      <w:r w:rsidR="004B22F5">
        <w:rPr>
          <w:rFonts w:ascii="garamond" w:hAnsi="garamond"/>
          <w:color w:val="000000" w:themeColor="text1"/>
        </w:rPr>
        <w:t xml:space="preserve"> </w:t>
      </w:r>
      <w:r w:rsidR="001A4193">
        <w:rPr>
          <w:rFonts w:ascii="garamond" w:hAnsi="garamond"/>
          <w:color w:val="000000" w:themeColor="text1"/>
        </w:rPr>
        <w:t>of</w:t>
      </w:r>
      <w:r w:rsidR="004B22F5">
        <w:rPr>
          <w:rFonts w:ascii="garamond" w:hAnsi="garamond"/>
          <w:color w:val="000000" w:themeColor="text1"/>
        </w:rPr>
        <w:t xml:space="preserve"> </w:t>
      </w:r>
      <w:r w:rsidR="001E3C41">
        <w:rPr>
          <w:rFonts w:ascii="garamond" w:hAnsi="garamond"/>
          <w:color w:val="000000" w:themeColor="text1"/>
        </w:rPr>
        <w:t xml:space="preserve">this </w:t>
      </w:r>
      <w:r w:rsidR="001A4193">
        <w:rPr>
          <w:rFonts w:ascii="garamond" w:hAnsi="garamond"/>
          <w:color w:val="000000" w:themeColor="text1"/>
        </w:rPr>
        <w:t xml:space="preserve">paper’s </w:t>
      </w:r>
      <w:r w:rsidR="007177FF">
        <w:rPr>
          <w:rFonts w:ascii="garamond" w:hAnsi="garamond"/>
          <w:color w:val="000000" w:themeColor="text1"/>
        </w:rPr>
        <w:t xml:space="preserve">argument, </w:t>
      </w:r>
      <w:r>
        <w:rPr>
          <w:rFonts w:ascii="garamond" w:hAnsi="garamond"/>
          <w:color w:val="000000" w:themeColor="text1"/>
        </w:rPr>
        <w:t>in particular the</w:t>
      </w:r>
      <w:r w:rsidR="007177FF">
        <w:rPr>
          <w:rFonts w:ascii="garamond" w:hAnsi="garamond"/>
          <w:color w:val="000000" w:themeColor="text1"/>
        </w:rPr>
        <w:t xml:space="preserve"> </w:t>
      </w:r>
      <w:r w:rsidR="001A4193">
        <w:rPr>
          <w:rFonts w:ascii="garamond" w:hAnsi="garamond"/>
          <w:color w:val="000000" w:themeColor="text1"/>
        </w:rPr>
        <w:t>limits</w:t>
      </w:r>
      <w:r w:rsidR="007177FF">
        <w:rPr>
          <w:rFonts w:ascii="garamond" w:hAnsi="garamond"/>
          <w:color w:val="000000" w:themeColor="text1"/>
        </w:rPr>
        <w:t xml:space="preserve"> of space-making from below</w:t>
      </w:r>
      <w:r w:rsidR="001E3C41">
        <w:rPr>
          <w:rFonts w:ascii="garamond" w:hAnsi="garamond"/>
          <w:color w:val="000000" w:themeColor="text1"/>
        </w:rPr>
        <w:t xml:space="preserve">. </w:t>
      </w:r>
      <w:r w:rsidR="007177FF">
        <w:rPr>
          <w:rFonts w:ascii="garamond" w:hAnsi="garamond"/>
          <w:color w:val="000000" w:themeColor="text1"/>
        </w:rPr>
        <w:t xml:space="preserve">The most entrenched political issues are those that concretize and naturalize their ideological principles in the built environment. For example, </w:t>
      </w:r>
      <w:r w:rsidR="007177FF">
        <w:rPr>
          <w:rFonts w:ascii="garamond" w:eastAsia="Times New Roman" w:hAnsi="garamond" w:cs="Times New Roman"/>
          <w:color w:val="000000" w:themeColor="text1"/>
        </w:rPr>
        <w:t>r</w:t>
      </w:r>
      <w:r w:rsidR="00D64AB7" w:rsidRPr="00636F62">
        <w:rPr>
          <w:rFonts w:ascii="garamond" w:eastAsia="Times New Roman" w:hAnsi="garamond" w:cs="Times New Roman"/>
          <w:color w:val="000000" w:themeColor="text1"/>
        </w:rPr>
        <w:t>acial segregation</w:t>
      </w:r>
      <w:r w:rsidR="007177FF">
        <w:rPr>
          <w:rFonts w:ascii="garamond" w:eastAsia="Times New Roman" w:hAnsi="garamond" w:cs="Times New Roman"/>
          <w:color w:val="000000" w:themeColor="text1"/>
        </w:rPr>
        <w:t>—</w:t>
      </w:r>
      <w:r w:rsidR="00D64AB7" w:rsidRPr="00636F62">
        <w:rPr>
          <w:rFonts w:ascii="garamond" w:eastAsia="Times New Roman" w:hAnsi="garamond" w:cs="Times New Roman"/>
          <w:color w:val="000000" w:themeColor="text1"/>
        </w:rPr>
        <w:t xml:space="preserve">which has </w:t>
      </w:r>
      <w:r w:rsidR="00D64AB7" w:rsidRPr="00636F62">
        <w:rPr>
          <w:rFonts w:ascii="garamond" w:eastAsia="Times New Roman" w:hAnsi="garamond" w:cs="Times New Roman"/>
          <w:color w:val="000000" w:themeColor="text1"/>
        </w:rPr>
        <w:lastRenderedPageBreak/>
        <w:t>long defined Chicago’s South Side</w:t>
      </w:r>
      <w:r w:rsidR="007177FF">
        <w:rPr>
          <w:rFonts w:ascii="garamond" w:eastAsia="Times New Roman" w:hAnsi="garamond" w:cs="Times New Roman"/>
          <w:color w:val="000000" w:themeColor="text1"/>
        </w:rPr>
        <w:t>—</w:t>
      </w:r>
      <w:r w:rsidR="00D64AB7" w:rsidRPr="00636F62">
        <w:rPr>
          <w:rFonts w:ascii="garamond" w:eastAsia="Times New Roman" w:hAnsi="garamond" w:cs="Times New Roman"/>
          <w:color w:val="000000" w:themeColor="text1"/>
        </w:rPr>
        <w:t>has been shaped by decades of discriminatory policies and laws</w:t>
      </w:r>
      <w:r w:rsidR="007177FF">
        <w:rPr>
          <w:rFonts w:ascii="garamond" w:eastAsia="Times New Roman" w:hAnsi="garamond" w:cs="Times New Roman"/>
          <w:color w:val="000000" w:themeColor="text1"/>
        </w:rPr>
        <w:t>.</w:t>
      </w:r>
      <w:r w:rsidR="007177FF">
        <w:rPr>
          <w:rStyle w:val="FootnoteReference"/>
          <w:rFonts w:ascii="garamond" w:eastAsia="Times New Roman" w:hAnsi="garamond" w:cs="Times New Roman"/>
          <w:color w:val="000000" w:themeColor="text1"/>
        </w:rPr>
        <w:footnoteReference w:id="71"/>
      </w:r>
      <w:r w:rsidR="00D64AB7" w:rsidRPr="00636F62">
        <w:rPr>
          <w:rFonts w:ascii="garamond" w:eastAsia="Times New Roman" w:hAnsi="garamond" w:cs="Times New Roman"/>
          <w:color w:val="000000" w:themeColor="text1"/>
        </w:rPr>
        <w:t xml:space="preserve"> Inequality has not simply resulted in segregation, but has been inscribed in the landscape, and now </w:t>
      </w:r>
      <w:r w:rsidR="00CA4A3C">
        <w:rPr>
          <w:rFonts w:ascii="garamond" w:eastAsia="Times New Roman" w:hAnsi="garamond" w:cs="Times New Roman"/>
          <w:color w:val="000000" w:themeColor="text1"/>
        </w:rPr>
        <w:t>undergirds</w:t>
      </w:r>
      <w:r w:rsidR="00D64AB7" w:rsidRPr="00636F62">
        <w:rPr>
          <w:rFonts w:ascii="garamond" w:eastAsia="Times New Roman" w:hAnsi="garamond" w:cs="Times New Roman"/>
          <w:color w:val="000000" w:themeColor="text1"/>
        </w:rPr>
        <w:t xml:space="preserve"> the </w:t>
      </w:r>
      <w:r w:rsidR="00CA4A3C">
        <w:rPr>
          <w:rFonts w:ascii="garamond" w:eastAsia="Times New Roman" w:hAnsi="garamond" w:cs="Times New Roman"/>
          <w:color w:val="000000" w:themeColor="text1"/>
        </w:rPr>
        <w:t>practices of</w:t>
      </w:r>
      <w:r w:rsidR="00D64AB7" w:rsidRPr="00636F62">
        <w:rPr>
          <w:rFonts w:ascii="garamond" w:eastAsia="Times New Roman" w:hAnsi="garamond" w:cs="Times New Roman"/>
          <w:color w:val="000000" w:themeColor="text1"/>
        </w:rPr>
        <w:t xml:space="preserve"> people’s</w:t>
      </w:r>
      <w:r w:rsidR="00CA4A3C">
        <w:rPr>
          <w:rFonts w:ascii="garamond" w:eastAsia="Times New Roman" w:hAnsi="garamond" w:cs="Times New Roman"/>
          <w:color w:val="000000" w:themeColor="text1"/>
        </w:rPr>
        <w:t xml:space="preserve"> daily</w:t>
      </w:r>
      <w:r w:rsidR="00D64AB7" w:rsidRPr="00636F62">
        <w:rPr>
          <w:rFonts w:ascii="garamond" w:eastAsia="Times New Roman" w:hAnsi="garamond" w:cs="Times New Roman"/>
          <w:color w:val="000000" w:themeColor="text1"/>
        </w:rPr>
        <w:t xml:space="preserve"> lives.</w:t>
      </w:r>
      <w:r>
        <w:rPr>
          <w:rStyle w:val="FootnoteReference"/>
          <w:rFonts w:ascii="garamond" w:eastAsia="Times New Roman" w:hAnsi="garamond" w:cs="Times New Roman"/>
          <w:color w:val="000000" w:themeColor="text1"/>
        </w:rPr>
        <w:footnoteReference w:id="72"/>
      </w:r>
      <w:r w:rsidR="00D64AB7" w:rsidRPr="00636F62">
        <w:rPr>
          <w:rFonts w:ascii="garamond" w:eastAsia="Times New Roman" w:hAnsi="garamond" w:cs="Times New Roman"/>
          <w:color w:val="000000" w:themeColor="text1"/>
        </w:rPr>
        <w:t xml:space="preserve"> </w:t>
      </w:r>
      <w:r w:rsidR="00DA687D">
        <w:rPr>
          <w:rFonts w:ascii="garamond" w:eastAsia="Times New Roman" w:hAnsi="garamond" w:cs="Times New Roman"/>
          <w:color w:val="000000" w:themeColor="text1"/>
        </w:rPr>
        <w:t>On the other hand, p</w:t>
      </w:r>
      <w:r w:rsidR="00D64AB7" w:rsidRPr="00636F62">
        <w:rPr>
          <w:rFonts w:ascii="garamond" w:eastAsia="Times New Roman" w:hAnsi="garamond" w:cs="Times New Roman"/>
          <w:color w:val="000000" w:themeColor="text1"/>
        </w:rPr>
        <w:t xml:space="preserve">rotest against this form of political wrong cannot be effective if it only targets agenda, policy, or even succeeds in changing people’s values. It must do something more challenging: it must propose alternative </w:t>
      </w:r>
      <w:r w:rsidR="00E75761">
        <w:rPr>
          <w:rFonts w:ascii="garamond" w:eastAsia="Times New Roman" w:hAnsi="garamond" w:cs="Times New Roman"/>
          <w:color w:val="000000" w:themeColor="text1"/>
        </w:rPr>
        <w:t>spatial</w:t>
      </w:r>
      <w:r w:rsidR="00D64AB7">
        <w:rPr>
          <w:rFonts w:ascii="garamond" w:eastAsia="Times New Roman" w:hAnsi="garamond" w:cs="Times New Roman"/>
          <w:color w:val="000000" w:themeColor="text1"/>
        </w:rPr>
        <w:t xml:space="preserve"> arrangements</w:t>
      </w:r>
      <w:r w:rsidR="00D64AB7" w:rsidRPr="00636F62">
        <w:rPr>
          <w:rFonts w:ascii="garamond" w:eastAsia="Times New Roman" w:hAnsi="garamond" w:cs="Times New Roman"/>
          <w:color w:val="000000" w:themeColor="text1"/>
        </w:rPr>
        <w:t xml:space="preserve">—and </w:t>
      </w:r>
      <w:r w:rsidR="00E75761">
        <w:rPr>
          <w:rFonts w:ascii="garamond" w:eastAsia="Times New Roman" w:hAnsi="garamond" w:cs="Times New Roman"/>
          <w:color w:val="000000" w:themeColor="text1"/>
        </w:rPr>
        <w:t>make believe</w:t>
      </w:r>
      <w:r w:rsidR="00D64AB7" w:rsidRPr="00636F62">
        <w:rPr>
          <w:rFonts w:ascii="garamond" w:eastAsia="Times New Roman" w:hAnsi="garamond" w:cs="Times New Roman"/>
          <w:color w:val="000000" w:themeColor="text1"/>
        </w:rPr>
        <w:t xml:space="preserve"> that </w:t>
      </w:r>
      <w:r w:rsidR="00E75761">
        <w:rPr>
          <w:rFonts w:ascii="garamond" w:eastAsia="Times New Roman" w:hAnsi="garamond" w:cs="Times New Roman"/>
          <w:color w:val="000000" w:themeColor="text1"/>
        </w:rPr>
        <w:t>they are</w:t>
      </w:r>
      <w:r w:rsidR="00D64AB7" w:rsidRPr="00636F62">
        <w:rPr>
          <w:rFonts w:ascii="garamond" w:eastAsia="Times New Roman" w:hAnsi="garamond" w:cs="Times New Roman"/>
          <w:color w:val="000000" w:themeColor="text1"/>
        </w:rPr>
        <w:t xml:space="preserve"> possible.</w:t>
      </w:r>
      <w:r w:rsidR="007177FF">
        <w:rPr>
          <w:rFonts w:ascii="garamond" w:eastAsia="Times New Roman" w:hAnsi="garamond" w:cs="Times New Roman"/>
          <w:color w:val="000000" w:themeColor="text1"/>
        </w:rPr>
        <w:t xml:space="preserve"> </w:t>
      </w:r>
    </w:p>
    <w:p w14:paraId="20D198A1" w14:textId="74CABB56" w:rsidR="003C011E" w:rsidRDefault="00E75761" w:rsidP="003C011E">
      <w:pPr>
        <w:ind w:firstLine="720"/>
        <w:rPr>
          <w:rFonts w:ascii="Helvetica Neue" w:eastAsiaTheme="minorHAnsi" w:hAnsi="Helvetica Neue" w:cs="Helvetica Neue"/>
          <w:color w:val="3F3F3F"/>
          <w:sz w:val="26"/>
          <w:szCs w:val="26"/>
        </w:rPr>
      </w:pPr>
      <w:r>
        <w:rPr>
          <w:rFonts w:ascii="garamond" w:hAnsi="garamond"/>
        </w:rPr>
        <w:t>We</w:t>
      </w:r>
      <w:r w:rsidR="004D1197" w:rsidRPr="009B66B3">
        <w:rPr>
          <w:rFonts w:ascii="garamond" w:hAnsi="garamond"/>
        </w:rPr>
        <w:t xml:space="preserve"> often associate </w:t>
      </w:r>
      <w:r w:rsidR="004D1197">
        <w:rPr>
          <w:rFonts w:ascii="garamond" w:hAnsi="garamond"/>
          <w:color w:val="000000" w:themeColor="text1"/>
        </w:rPr>
        <w:t xml:space="preserve">architecture with stability and permanence, making it seem ill-suited to serving contestatory politics. </w:t>
      </w:r>
      <w:r w:rsidR="00B102A6">
        <w:rPr>
          <w:rFonts w:ascii="garamond" w:hAnsi="garamond"/>
          <w:color w:val="000000" w:themeColor="text1"/>
        </w:rPr>
        <w:t xml:space="preserve">Fredric </w:t>
      </w:r>
      <w:r w:rsidR="005237C2" w:rsidRPr="001C2338">
        <w:rPr>
          <w:rFonts w:ascii="garamond" w:hAnsi="garamond"/>
          <w:color w:val="000000" w:themeColor="text1"/>
        </w:rPr>
        <w:t>Jameson</w:t>
      </w:r>
      <w:r w:rsidR="00B102A6">
        <w:rPr>
          <w:rFonts w:ascii="garamond" w:hAnsi="garamond"/>
          <w:color w:val="000000" w:themeColor="text1"/>
        </w:rPr>
        <w:t>, for example,</w:t>
      </w:r>
      <w:r w:rsidR="005237C2" w:rsidRPr="001C2338">
        <w:rPr>
          <w:rFonts w:ascii="garamond" w:hAnsi="garamond"/>
          <w:color w:val="000000" w:themeColor="text1"/>
        </w:rPr>
        <w:t xml:space="preserve"> </w:t>
      </w:r>
      <w:r w:rsidR="00B102A6">
        <w:rPr>
          <w:rFonts w:ascii="garamond" w:hAnsi="garamond"/>
          <w:color w:val="000000" w:themeColor="text1"/>
        </w:rPr>
        <w:t xml:space="preserve">describes the political valence of the built environment thus: </w:t>
      </w:r>
      <w:r w:rsidR="005237C2" w:rsidRPr="001C2338">
        <w:rPr>
          <w:rFonts w:ascii="garamond" w:hAnsi="garamond"/>
          <w:color w:val="000000" w:themeColor="text1"/>
        </w:rPr>
        <w:t>“the logical contradiction lies…in the difficulty of producing difference out of the same. It is a difficult</w:t>
      </w:r>
      <w:r w:rsidR="005237C2">
        <w:rPr>
          <w:rFonts w:ascii="garamond" w:hAnsi="garamond"/>
          <w:color w:val="000000" w:themeColor="text1"/>
        </w:rPr>
        <w:t xml:space="preserve">y </w:t>
      </w:r>
      <w:r w:rsidR="005237C2" w:rsidRPr="001C2338">
        <w:rPr>
          <w:rFonts w:ascii="garamond" w:hAnsi="garamond"/>
          <w:color w:val="000000" w:themeColor="text1"/>
        </w:rPr>
        <w:t>compounded by our conviction as to the increasing systematicity of this system, of its closure as a totality from which, as Foucault taught us again and again, we can scarcely hope to escape.</w:t>
      </w:r>
      <w:r w:rsidR="005237C2">
        <w:rPr>
          <w:rFonts w:ascii="garamond" w:hAnsi="garamond"/>
          <w:color w:val="000000" w:themeColor="text1"/>
        </w:rPr>
        <w:t>”</w:t>
      </w:r>
      <w:r w:rsidR="005237C2" w:rsidRPr="001C2338">
        <w:rPr>
          <w:rStyle w:val="FootnoteReference"/>
          <w:rFonts w:ascii="garamond" w:hAnsi="garamond"/>
          <w:color w:val="000000" w:themeColor="text1"/>
        </w:rPr>
        <w:footnoteReference w:id="73"/>
      </w:r>
      <w:r w:rsidR="005237C2" w:rsidRPr="001C2338">
        <w:rPr>
          <w:rFonts w:ascii="garamond" w:hAnsi="garamond"/>
          <w:color w:val="000000" w:themeColor="text1"/>
        </w:rPr>
        <w:t xml:space="preserve"> </w:t>
      </w:r>
      <w:r w:rsidR="004D1197">
        <w:rPr>
          <w:rFonts w:ascii="garamond" w:hAnsi="garamond"/>
          <w:color w:val="000000" w:themeColor="text1"/>
        </w:rPr>
        <w:t xml:space="preserve">This paper offers a view of </w:t>
      </w:r>
      <w:r w:rsidR="00B102A6">
        <w:rPr>
          <w:rFonts w:ascii="garamond" w:hAnsi="garamond"/>
          <w:color w:val="000000" w:themeColor="text1"/>
        </w:rPr>
        <w:t>ad hoc architecture</w:t>
      </w:r>
      <w:r w:rsidR="004D1197">
        <w:rPr>
          <w:rFonts w:ascii="garamond" w:hAnsi="garamond"/>
          <w:color w:val="000000" w:themeColor="text1"/>
        </w:rPr>
        <w:t xml:space="preserve"> as an arena and agent in contes</w:t>
      </w:r>
      <w:r w:rsidR="009371C9">
        <w:rPr>
          <w:rFonts w:ascii="garamond" w:hAnsi="garamond"/>
          <w:color w:val="000000" w:themeColor="text1"/>
        </w:rPr>
        <w:t>t</w:t>
      </w:r>
      <w:r w:rsidR="004D1197">
        <w:rPr>
          <w:rFonts w:ascii="garamond" w:hAnsi="garamond"/>
          <w:color w:val="000000" w:themeColor="text1"/>
        </w:rPr>
        <w:t>ation</w:t>
      </w:r>
      <w:r w:rsidR="00B102A6">
        <w:rPr>
          <w:rFonts w:ascii="garamond" w:hAnsi="garamond"/>
          <w:color w:val="000000" w:themeColor="text1"/>
        </w:rPr>
        <w:t>, rather than a source of political conservatism.</w:t>
      </w:r>
      <w:r w:rsidR="004D1197">
        <w:rPr>
          <w:rFonts w:ascii="garamond" w:hAnsi="garamond"/>
          <w:color w:val="000000" w:themeColor="text1"/>
        </w:rPr>
        <w:t xml:space="preserve"> </w:t>
      </w:r>
      <w:r w:rsidR="00B102A6">
        <w:rPr>
          <w:rFonts w:ascii="garamond" w:hAnsi="garamond"/>
          <w:color w:val="000000" w:themeColor="text1"/>
        </w:rPr>
        <w:t xml:space="preserve">Further, the radical potential of space-making </w:t>
      </w:r>
      <w:r w:rsidR="00B102A6">
        <w:rPr>
          <w:rFonts w:ascii="garamond" w:eastAsia="Times New Roman" w:hAnsi="garamond" w:cs="Times New Roman"/>
          <w:color w:val="000000" w:themeColor="text1"/>
        </w:rPr>
        <w:t>s</w:t>
      </w:r>
      <w:r w:rsidR="00B102A6" w:rsidRPr="00B102A6">
        <w:rPr>
          <w:rFonts w:ascii="garamond" w:eastAsia="Times New Roman" w:hAnsi="garamond" w:cs="Times New Roman"/>
          <w:color w:val="000000" w:themeColor="text1"/>
        </w:rPr>
        <w:t xml:space="preserve">pecifically </w:t>
      </w:r>
      <w:r w:rsidR="00B102A6">
        <w:rPr>
          <w:rFonts w:ascii="garamond" w:eastAsia="Times New Roman" w:hAnsi="garamond" w:cs="Times New Roman"/>
          <w:color w:val="000000" w:themeColor="text1"/>
        </w:rPr>
        <w:t>relies</w:t>
      </w:r>
      <w:r w:rsidR="00B102A6" w:rsidRPr="00B102A6">
        <w:rPr>
          <w:rFonts w:ascii="garamond" w:eastAsia="Times New Roman" w:hAnsi="garamond" w:cs="Times New Roman"/>
          <w:color w:val="000000" w:themeColor="text1"/>
        </w:rPr>
        <w:t xml:space="preserve"> on architecture’s </w:t>
      </w:r>
      <w:r w:rsidR="00B178AF">
        <w:rPr>
          <w:rFonts w:ascii="garamond" w:eastAsia="Times New Roman" w:hAnsi="garamond" w:cs="Times New Roman"/>
          <w:color w:val="000000" w:themeColor="text1"/>
        </w:rPr>
        <w:t>disciplinary power</w:t>
      </w:r>
      <w:r w:rsidR="00B102A6" w:rsidRPr="00B102A6">
        <w:rPr>
          <w:rFonts w:ascii="garamond" w:eastAsia="Times New Roman" w:hAnsi="garamond" w:cs="Times New Roman"/>
          <w:color w:val="000000" w:themeColor="text1"/>
        </w:rPr>
        <w:t xml:space="preserve"> and </w:t>
      </w:r>
      <w:r w:rsidR="00B178AF">
        <w:rPr>
          <w:rFonts w:ascii="garamond" w:eastAsia="Times New Roman" w:hAnsi="garamond" w:cs="Times New Roman"/>
          <w:color w:val="000000" w:themeColor="text1"/>
        </w:rPr>
        <w:t>ability to naturalize the social relations it hosts</w:t>
      </w:r>
      <w:r w:rsidR="00B102A6" w:rsidRPr="00B102A6">
        <w:rPr>
          <w:rFonts w:ascii="garamond" w:eastAsia="Times New Roman" w:hAnsi="garamond" w:cs="Times New Roman"/>
          <w:color w:val="000000" w:themeColor="text1"/>
        </w:rPr>
        <w:t>—</w:t>
      </w:r>
      <w:r w:rsidR="00B102A6">
        <w:rPr>
          <w:rFonts w:ascii="garamond" w:eastAsia="Times New Roman" w:hAnsi="garamond" w:cs="Times New Roman"/>
          <w:color w:val="000000" w:themeColor="text1"/>
        </w:rPr>
        <w:t xml:space="preserve">characteristics usually associated with </w:t>
      </w:r>
      <w:r w:rsidR="00B178AF">
        <w:rPr>
          <w:rFonts w:ascii="garamond" w:eastAsia="Times New Roman" w:hAnsi="garamond" w:cs="Times New Roman"/>
          <w:color w:val="000000" w:themeColor="text1"/>
        </w:rPr>
        <w:t>conservative politics</w:t>
      </w:r>
      <w:r w:rsidR="00B102A6">
        <w:rPr>
          <w:rFonts w:ascii="garamond" w:eastAsia="Times New Roman" w:hAnsi="garamond" w:cs="Times New Roman"/>
          <w:color w:val="000000" w:themeColor="text1"/>
        </w:rPr>
        <w:t xml:space="preserve">. </w:t>
      </w:r>
      <w:r w:rsidR="004D1197">
        <w:rPr>
          <w:rFonts w:ascii="garamond" w:hAnsi="garamond"/>
          <w:color w:val="000000" w:themeColor="text1"/>
        </w:rPr>
        <w:t>This conclusion bears</w:t>
      </w:r>
      <w:r w:rsidR="00B2499F" w:rsidRPr="001C2338">
        <w:rPr>
          <w:rFonts w:ascii="garamond" w:hAnsi="garamond"/>
          <w:color w:val="000000" w:themeColor="text1"/>
        </w:rPr>
        <w:t xml:space="preserve"> on the debates between </w:t>
      </w:r>
      <w:r w:rsidR="00A80274">
        <w:rPr>
          <w:rFonts w:ascii="garamond" w:hAnsi="garamond"/>
          <w:color w:val="000000" w:themeColor="text1"/>
        </w:rPr>
        <w:t>reformism</w:t>
      </w:r>
      <w:r w:rsidR="00B2499F" w:rsidRPr="001C2338">
        <w:rPr>
          <w:rFonts w:ascii="garamond" w:hAnsi="garamond"/>
          <w:color w:val="000000" w:themeColor="text1"/>
        </w:rPr>
        <w:t xml:space="preserve"> and </w:t>
      </w:r>
      <w:r w:rsidR="00A80274">
        <w:rPr>
          <w:rFonts w:ascii="garamond" w:hAnsi="garamond"/>
          <w:color w:val="000000" w:themeColor="text1"/>
        </w:rPr>
        <w:t>radicalism</w:t>
      </w:r>
      <w:r w:rsidR="00B2499F" w:rsidRPr="001C2338">
        <w:rPr>
          <w:rFonts w:ascii="garamond" w:hAnsi="garamond"/>
          <w:color w:val="000000" w:themeColor="text1"/>
        </w:rPr>
        <w:t xml:space="preserve"> in social movements. Organizers often worry about </w:t>
      </w:r>
      <w:r w:rsidR="005676E1" w:rsidRPr="001C2338">
        <w:rPr>
          <w:rFonts w:ascii="garamond" w:hAnsi="garamond"/>
          <w:color w:val="000000" w:themeColor="text1"/>
        </w:rPr>
        <w:t>the appropriate balance between faithful pursuit of radical goals, and clearheaded negotiation with</w:t>
      </w:r>
      <w:r w:rsidR="00B2499F" w:rsidRPr="001C2338">
        <w:rPr>
          <w:rFonts w:ascii="garamond" w:hAnsi="garamond"/>
          <w:color w:val="000000" w:themeColor="text1"/>
        </w:rPr>
        <w:t>in</w:t>
      </w:r>
      <w:r w:rsidR="005676E1" w:rsidRPr="001C2338">
        <w:rPr>
          <w:rFonts w:ascii="garamond" w:hAnsi="garamond"/>
          <w:color w:val="000000" w:themeColor="text1"/>
        </w:rPr>
        <w:t xml:space="preserve"> </w:t>
      </w:r>
      <w:r w:rsidR="00B2499F" w:rsidRPr="001C2338">
        <w:rPr>
          <w:rFonts w:ascii="garamond" w:hAnsi="garamond"/>
          <w:color w:val="000000" w:themeColor="text1"/>
        </w:rPr>
        <w:t>the</w:t>
      </w:r>
      <w:r w:rsidR="005676E1" w:rsidRPr="001C2338">
        <w:rPr>
          <w:rFonts w:ascii="garamond" w:hAnsi="garamond"/>
          <w:color w:val="000000" w:themeColor="text1"/>
        </w:rPr>
        <w:t xml:space="preserve"> limitations</w:t>
      </w:r>
      <w:r w:rsidR="00B2499F" w:rsidRPr="001C2338">
        <w:rPr>
          <w:rFonts w:ascii="garamond" w:hAnsi="garamond"/>
          <w:color w:val="000000" w:themeColor="text1"/>
        </w:rPr>
        <w:t xml:space="preserve"> of the environments they inhabit</w:t>
      </w:r>
      <w:r w:rsidR="005676E1" w:rsidRPr="001C2338">
        <w:rPr>
          <w:rFonts w:ascii="garamond" w:hAnsi="garamond"/>
          <w:color w:val="000000" w:themeColor="text1"/>
        </w:rPr>
        <w:t xml:space="preserve">. Put another way, </w:t>
      </w:r>
      <w:r w:rsidR="00B2499F" w:rsidRPr="001C2338">
        <w:rPr>
          <w:rFonts w:ascii="garamond" w:hAnsi="garamond"/>
          <w:color w:val="000000" w:themeColor="text1"/>
        </w:rPr>
        <w:t xml:space="preserve">they ask </w:t>
      </w:r>
      <w:r w:rsidR="005676E1" w:rsidRPr="001C2338">
        <w:rPr>
          <w:rFonts w:ascii="garamond" w:hAnsi="garamond"/>
          <w:color w:val="000000" w:themeColor="text1"/>
        </w:rPr>
        <w:t xml:space="preserve">how we </w:t>
      </w:r>
      <w:r w:rsidR="00B2499F" w:rsidRPr="001C2338">
        <w:rPr>
          <w:rFonts w:ascii="garamond" w:hAnsi="garamond"/>
          <w:color w:val="000000" w:themeColor="text1"/>
        </w:rPr>
        <w:t xml:space="preserve">can </w:t>
      </w:r>
      <w:r w:rsidR="005676E1" w:rsidRPr="001C2338">
        <w:rPr>
          <w:rFonts w:ascii="garamond" w:hAnsi="garamond"/>
          <w:color w:val="000000" w:themeColor="text1"/>
        </w:rPr>
        <w:t xml:space="preserve">remain honest about the entrenched nature of the very structures we wish to </w:t>
      </w:r>
      <w:r w:rsidR="0009401A">
        <w:rPr>
          <w:rFonts w:ascii="garamond" w:hAnsi="garamond"/>
          <w:color w:val="000000" w:themeColor="text1"/>
        </w:rPr>
        <w:t>overcome</w:t>
      </w:r>
      <w:r w:rsidR="00AE58F1">
        <w:rPr>
          <w:rFonts w:ascii="garamond" w:hAnsi="garamond"/>
          <w:color w:val="000000" w:themeColor="text1"/>
        </w:rPr>
        <w:t>.</w:t>
      </w:r>
      <w:r w:rsidR="005676E1" w:rsidRPr="001C2338">
        <w:rPr>
          <w:rFonts w:ascii="garamond" w:hAnsi="garamond"/>
          <w:color w:val="000000" w:themeColor="text1"/>
        </w:rPr>
        <w:t xml:space="preserve"> </w:t>
      </w:r>
      <w:r w:rsidR="00B2499F" w:rsidRPr="001C2338">
        <w:rPr>
          <w:rFonts w:ascii="garamond" w:hAnsi="garamond"/>
          <w:color w:val="000000" w:themeColor="text1"/>
        </w:rPr>
        <w:t>Responses to this question often focus on</w:t>
      </w:r>
      <w:r w:rsidR="005676E1" w:rsidRPr="001C2338">
        <w:rPr>
          <w:rFonts w:ascii="garamond" w:hAnsi="garamond"/>
          <w:color w:val="000000" w:themeColor="text1"/>
        </w:rPr>
        <w:t xml:space="preserve"> goal creation</w:t>
      </w:r>
      <w:r w:rsidR="00AE58F1">
        <w:rPr>
          <w:rFonts w:ascii="garamond" w:hAnsi="garamond"/>
          <w:color w:val="000000" w:themeColor="text1"/>
        </w:rPr>
        <w:t xml:space="preserve">, such as: </w:t>
      </w:r>
      <w:r w:rsidR="005676E1" w:rsidRPr="001C2338">
        <w:rPr>
          <w:rFonts w:ascii="garamond" w:hAnsi="garamond"/>
          <w:color w:val="000000" w:themeColor="text1"/>
        </w:rPr>
        <w:t xml:space="preserve">what goals should activists craft so that they are sufficiently radical </w:t>
      </w:r>
      <w:r w:rsidR="00F356A0">
        <w:rPr>
          <w:rFonts w:ascii="garamond" w:hAnsi="garamond"/>
          <w:color w:val="000000" w:themeColor="text1"/>
        </w:rPr>
        <w:t>while remaining</w:t>
      </w:r>
      <w:r w:rsidR="005676E1" w:rsidRPr="001C2338">
        <w:rPr>
          <w:rFonts w:ascii="garamond" w:hAnsi="garamond"/>
          <w:color w:val="000000" w:themeColor="text1"/>
        </w:rPr>
        <w:t xml:space="preserve"> sufficiently achievable</w:t>
      </w:r>
      <w:r w:rsidR="00E36732">
        <w:rPr>
          <w:rFonts w:ascii="garamond" w:hAnsi="garamond"/>
          <w:color w:val="000000" w:themeColor="text1"/>
        </w:rPr>
        <w:t xml:space="preserve">? </w:t>
      </w:r>
      <w:r w:rsidR="000E7704" w:rsidRPr="001C2338">
        <w:rPr>
          <w:rFonts w:ascii="garamond" w:hAnsi="garamond"/>
          <w:color w:val="000000" w:themeColor="text1"/>
        </w:rPr>
        <w:t>But we should also</w:t>
      </w:r>
      <w:r w:rsidR="00AE58F1">
        <w:rPr>
          <w:rFonts w:ascii="garamond" w:hAnsi="garamond"/>
          <w:color w:val="000000" w:themeColor="text1"/>
        </w:rPr>
        <w:t xml:space="preserve"> consider </w:t>
      </w:r>
      <w:r w:rsidR="007956A5">
        <w:rPr>
          <w:rFonts w:ascii="garamond" w:hAnsi="garamond"/>
          <w:color w:val="000000" w:themeColor="text1"/>
        </w:rPr>
        <w:t>how</w:t>
      </w:r>
      <w:r w:rsidR="000E7704" w:rsidRPr="001C2338">
        <w:rPr>
          <w:rFonts w:ascii="garamond" w:hAnsi="garamond"/>
          <w:color w:val="000000" w:themeColor="text1"/>
        </w:rPr>
        <w:t xml:space="preserve"> protest methods can </w:t>
      </w:r>
      <w:r w:rsidR="00B2499F" w:rsidRPr="001C2338">
        <w:rPr>
          <w:rFonts w:ascii="garamond" w:hAnsi="garamond"/>
          <w:color w:val="000000" w:themeColor="text1"/>
        </w:rPr>
        <w:t xml:space="preserve">themselves help </w:t>
      </w:r>
      <w:r w:rsidR="000E7704" w:rsidRPr="001C2338">
        <w:rPr>
          <w:rFonts w:ascii="garamond" w:hAnsi="garamond"/>
          <w:color w:val="000000" w:themeColor="text1"/>
        </w:rPr>
        <w:t>bridg</w:t>
      </w:r>
      <w:r w:rsidR="00B2499F" w:rsidRPr="001C2338">
        <w:rPr>
          <w:rFonts w:ascii="garamond" w:hAnsi="garamond"/>
          <w:color w:val="000000" w:themeColor="text1"/>
        </w:rPr>
        <w:t>e</w:t>
      </w:r>
      <w:r w:rsidR="000E7704" w:rsidRPr="001C2338">
        <w:rPr>
          <w:rFonts w:ascii="garamond" w:hAnsi="garamond"/>
          <w:color w:val="000000" w:themeColor="text1"/>
        </w:rPr>
        <w:t xml:space="preserve"> pragmatic </w:t>
      </w:r>
      <w:r w:rsidR="00EE52FD">
        <w:rPr>
          <w:rFonts w:ascii="garamond" w:hAnsi="garamond"/>
          <w:color w:val="000000" w:themeColor="text1"/>
        </w:rPr>
        <w:t xml:space="preserve">considerations </w:t>
      </w:r>
      <w:r w:rsidR="000E7704" w:rsidRPr="001C2338">
        <w:rPr>
          <w:rFonts w:ascii="garamond" w:hAnsi="garamond"/>
          <w:color w:val="000000" w:themeColor="text1"/>
        </w:rPr>
        <w:t>and utopian</w:t>
      </w:r>
      <w:r w:rsidR="00EE52FD">
        <w:rPr>
          <w:rFonts w:ascii="garamond" w:hAnsi="garamond"/>
          <w:color w:val="000000" w:themeColor="text1"/>
        </w:rPr>
        <w:t xml:space="preserve"> ideals</w:t>
      </w:r>
      <w:r w:rsidR="000E7704" w:rsidRPr="001C2338">
        <w:rPr>
          <w:rFonts w:ascii="garamond" w:hAnsi="garamond"/>
          <w:color w:val="000000" w:themeColor="text1"/>
        </w:rPr>
        <w:t xml:space="preserve">. </w:t>
      </w:r>
      <w:r w:rsidR="00255D65">
        <w:rPr>
          <w:rFonts w:ascii="garamond" w:hAnsi="garamond"/>
          <w:color w:val="000000" w:themeColor="text1"/>
        </w:rPr>
        <w:t xml:space="preserve">Activists in these protests used modest materials and </w:t>
      </w:r>
      <w:r w:rsidR="00B352E5">
        <w:rPr>
          <w:rFonts w:ascii="garamond" w:hAnsi="garamond"/>
          <w:color w:val="000000" w:themeColor="text1"/>
        </w:rPr>
        <w:t>abandoned spaces within constraining landscapes to model imaginative alternatives.</w:t>
      </w:r>
      <w:r w:rsidR="00255D65">
        <w:rPr>
          <w:rFonts w:ascii="garamond" w:hAnsi="garamond"/>
          <w:color w:val="000000" w:themeColor="text1"/>
        </w:rPr>
        <w:t xml:space="preserve"> </w:t>
      </w:r>
      <w:r w:rsidR="00AD2CAB">
        <w:rPr>
          <w:rFonts w:ascii="garamond" w:hAnsi="garamond"/>
          <w:color w:val="000000" w:themeColor="text1"/>
        </w:rPr>
        <w:t xml:space="preserve">David Pinder calls this </w:t>
      </w:r>
      <w:r w:rsidR="00AD2CAB" w:rsidRPr="00AD2CAB">
        <w:rPr>
          <w:rFonts w:ascii="garamond" w:hAnsi="garamond"/>
          <w:color w:val="000000" w:themeColor="text1"/>
        </w:rPr>
        <w:t xml:space="preserve">'everyday utopianism' as it finds the possibility of radical futures buried within the </w:t>
      </w:r>
      <w:r w:rsidR="00AD2CAB">
        <w:rPr>
          <w:rFonts w:ascii="garamond" w:hAnsi="garamond"/>
          <w:color w:val="000000" w:themeColor="text1"/>
        </w:rPr>
        <w:t xml:space="preserve">terms of the conservative </w:t>
      </w:r>
      <w:r w:rsidR="00AD2CAB" w:rsidRPr="00AD2CAB">
        <w:rPr>
          <w:rFonts w:ascii="garamond" w:hAnsi="garamond"/>
          <w:color w:val="000000" w:themeColor="text1"/>
        </w:rPr>
        <w:t>present</w:t>
      </w:r>
      <w:r w:rsidR="00AD2CAB">
        <w:rPr>
          <w:rFonts w:ascii="garamond" w:hAnsi="garamond"/>
          <w:color w:val="000000" w:themeColor="text1"/>
        </w:rPr>
        <w:t>.</w:t>
      </w:r>
      <w:r w:rsidR="00AD2CAB">
        <w:rPr>
          <w:rStyle w:val="FootnoteReference"/>
          <w:rFonts w:ascii="garamond" w:hAnsi="garamond"/>
          <w:color w:val="000000" w:themeColor="text1"/>
        </w:rPr>
        <w:footnoteReference w:id="74"/>
      </w:r>
      <w:r w:rsidR="00AD2CAB" w:rsidRPr="00AD2CAB">
        <w:rPr>
          <w:rFonts w:ascii="garamond" w:hAnsi="garamond"/>
          <w:color w:val="000000" w:themeColor="text1"/>
        </w:rPr>
        <w:t xml:space="preserve"> </w:t>
      </w:r>
      <w:r w:rsidR="00EE52FD">
        <w:rPr>
          <w:rFonts w:ascii="garamond" w:hAnsi="garamond"/>
          <w:color w:val="000000" w:themeColor="text1"/>
        </w:rPr>
        <w:t xml:space="preserve">This suggests that grappling with the limitations of the present political landscape in the name of radical politics is not limited to reformist </w:t>
      </w:r>
      <w:r w:rsidR="004D3CB3">
        <w:rPr>
          <w:rFonts w:ascii="garamond" w:hAnsi="garamond"/>
          <w:color w:val="000000" w:themeColor="text1"/>
        </w:rPr>
        <w:t>capitulation</w:t>
      </w:r>
      <w:r w:rsidR="00EE52FD">
        <w:rPr>
          <w:rFonts w:ascii="garamond" w:hAnsi="garamond"/>
          <w:color w:val="000000" w:themeColor="text1"/>
        </w:rPr>
        <w:t xml:space="preserve"> nor rupture, but also includes targeting our imagination of what</w:t>
      </w:r>
      <w:r w:rsidR="00B178AF">
        <w:rPr>
          <w:rFonts w:ascii="garamond" w:hAnsi="garamond"/>
          <w:color w:val="000000" w:themeColor="text1"/>
        </w:rPr>
        <w:t xml:space="preserve"> is</w:t>
      </w:r>
      <w:r w:rsidR="00EE52FD">
        <w:rPr>
          <w:rFonts w:ascii="garamond" w:hAnsi="garamond"/>
          <w:color w:val="000000" w:themeColor="text1"/>
        </w:rPr>
        <w:t xml:space="preserve"> possible in </w:t>
      </w:r>
      <w:r w:rsidR="00B178AF">
        <w:rPr>
          <w:rFonts w:ascii="garamond" w:hAnsi="garamond"/>
          <w:color w:val="000000" w:themeColor="text1"/>
        </w:rPr>
        <w:t xml:space="preserve">our </w:t>
      </w:r>
      <w:r w:rsidR="00EE52FD">
        <w:rPr>
          <w:rFonts w:ascii="garamond" w:hAnsi="garamond"/>
          <w:color w:val="000000" w:themeColor="text1"/>
        </w:rPr>
        <w:t>political landscape in the first place.</w:t>
      </w:r>
      <w:r w:rsidR="00183433">
        <w:rPr>
          <w:rFonts w:ascii="garamond" w:hAnsi="garamond"/>
          <w:color w:val="000000" w:themeColor="text1"/>
        </w:rPr>
        <w:t xml:space="preserve"> </w:t>
      </w:r>
      <w:r w:rsidR="00183433">
        <w:rPr>
          <w:rFonts w:ascii="garamond" w:hAnsi="garamond"/>
        </w:rPr>
        <w:t>Though the occupations, p</w:t>
      </w:r>
      <w:r w:rsidR="00183433" w:rsidRPr="00126C68">
        <w:rPr>
          <w:rFonts w:ascii="garamond" w:hAnsi="garamond"/>
        </w:rPr>
        <w:t xml:space="preserve">rotesters are producing </w:t>
      </w:r>
      <w:r w:rsidR="00D01DDE">
        <w:rPr>
          <w:rFonts w:ascii="garamond" w:hAnsi="garamond"/>
        </w:rPr>
        <w:t>‘</w:t>
      </w:r>
      <w:r w:rsidR="00183433" w:rsidRPr="00126C68">
        <w:rPr>
          <w:rFonts w:ascii="garamond" w:hAnsi="garamond"/>
        </w:rPr>
        <w:t xml:space="preserve">the spatiality which permits </w:t>
      </w:r>
      <w:r w:rsidR="00183433">
        <w:rPr>
          <w:rFonts w:ascii="garamond" w:hAnsi="garamond"/>
        </w:rPr>
        <w:t>them to speak.</w:t>
      </w:r>
      <w:r w:rsidR="00D01DDE">
        <w:rPr>
          <w:rFonts w:ascii="garamond" w:hAnsi="garamond"/>
        </w:rPr>
        <w:t>’</w:t>
      </w:r>
      <w:r w:rsidR="00183433">
        <w:rPr>
          <w:rStyle w:val="FootnoteReference"/>
          <w:rFonts w:ascii="garamond" w:hAnsi="garamond"/>
        </w:rPr>
        <w:footnoteReference w:id="75"/>
      </w:r>
      <w:r w:rsidR="00EE52FD">
        <w:rPr>
          <w:rFonts w:ascii="garamond" w:hAnsi="garamond"/>
          <w:color w:val="000000" w:themeColor="text1"/>
        </w:rPr>
        <w:t xml:space="preserve"> </w:t>
      </w:r>
      <w:r w:rsidR="0009401A">
        <w:rPr>
          <w:rFonts w:ascii="garamond" w:hAnsi="garamond"/>
          <w:color w:val="000000" w:themeColor="text1"/>
        </w:rPr>
        <w:t>While architecture has long been associated with conservatism, these protests show how architecture’s rigidity and authority can be used for radical ends,</w:t>
      </w:r>
      <w:r w:rsidR="004D1197" w:rsidRPr="001C2338">
        <w:rPr>
          <w:rFonts w:ascii="garamond" w:hAnsi="garamond"/>
          <w:color w:val="000000" w:themeColor="text1"/>
        </w:rPr>
        <w:t xml:space="preserve"> while contributing experiential data to the ongoing debate about what kinds of changes activists want to achieve.</w:t>
      </w:r>
      <w:r w:rsidR="00B102A6" w:rsidRPr="00B102A6">
        <w:rPr>
          <w:rFonts w:ascii="Helvetica Neue" w:eastAsiaTheme="minorHAnsi" w:hAnsi="Helvetica Neue" w:cs="Helvetica Neue"/>
          <w:color w:val="3F3F3F"/>
          <w:sz w:val="26"/>
          <w:szCs w:val="26"/>
        </w:rPr>
        <w:t xml:space="preserve"> </w:t>
      </w:r>
    </w:p>
    <w:p w14:paraId="3B13BF15" w14:textId="684FE0AB" w:rsidR="00BD7BFF" w:rsidRPr="00840E3F" w:rsidRDefault="00BD7BFF" w:rsidP="00840E3F">
      <w:pPr>
        <w:rPr>
          <w:rFonts w:ascii="Helvetica Neue" w:eastAsiaTheme="minorHAnsi" w:hAnsi="Helvetica Neue" w:cs="Helvetica Neue"/>
          <w:color w:val="3F3F3F"/>
          <w:sz w:val="26"/>
          <w:szCs w:val="26"/>
        </w:rPr>
      </w:pPr>
    </w:p>
    <w:sectPr w:rsidR="00BD7BFF" w:rsidRPr="00840E3F" w:rsidSect="00A52FD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A9CE" w14:textId="77777777" w:rsidR="000C1F38" w:rsidRDefault="000C1F38" w:rsidP="001C5E3D">
      <w:r>
        <w:separator/>
      </w:r>
    </w:p>
  </w:endnote>
  <w:endnote w:type="continuationSeparator" w:id="0">
    <w:p w14:paraId="08EC975C" w14:textId="77777777" w:rsidR="000C1F38" w:rsidRDefault="000C1F38" w:rsidP="001C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FD53" w14:textId="77777777" w:rsidR="000C1F38" w:rsidRDefault="000C1F38" w:rsidP="001C5E3D">
      <w:r>
        <w:separator/>
      </w:r>
    </w:p>
  </w:footnote>
  <w:footnote w:type="continuationSeparator" w:id="0">
    <w:p w14:paraId="4206CDD0" w14:textId="77777777" w:rsidR="000C1F38" w:rsidRDefault="000C1F38" w:rsidP="001C5E3D">
      <w:r>
        <w:continuationSeparator/>
      </w:r>
    </w:p>
  </w:footnote>
  <w:footnote w:id="1">
    <w:p w14:paraId="2EE09790" w14:textId="22ADE2B9" w:rsidR="00D778D7" w:rsidRPr="001311A3" w:rsidRDefault="00D778D7">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009079BE" w:rsidRPr="001311A3">
        <w:rPr>
          <w:rFonts w:ascii="garamond" w:hAnsi="garamond"/>
        </w:rPr>
        <w:t>I</w:t>
      </w:r>
      <w:r w:rsidRPr="001311A3">
        <w:rPr>
          <w:rFonts w:ascii="garamond" w:hAnsi="garamond"/>
        </w:rPr>
        <w:t xml:space="preserve"> thank Arturo Carrillo for his time, and </w:t>
      </w:r>
      <w:r w:rsidR="007438AC" w:rsidRPr="001311A3">
        <w:rPr>
          <w:rFonts w:ascii="garamond" w:hAnsi="garamond"/>
        </w:rPr>
        <w:t xml:space="preserve">the </w:t>
      </w:r>
      <w:r w:rsidRPr="001311A3">
        <w:rPr>
          <w:rFonts w:ascii="garamond" w:hAnsi="garamond"/>
        </w:rPr>
        <w:t>participants in a Western Political Science Association panel and the Chicago political theory group—especially Linda Zerilli—for the helpful feedback on earlier versions of this paper. I am also grateful to Bernardo Zacka, Katrina Forrester, Eric Beerbohm, Nace Zavrl,</w:t>
      </w:r>
      <w:r w:rsidR="004A5912" w:rsidRPr="001311A3">
        <w:rPr>
          <w:rFonts w:ascii="garamond" w:hAnsi="garamond"/>
        </w:rPr>
        <w:t xml:space="preserve"> </w:t>
      </w:r>
      <w:r w:rsidR="008B6BBE" w:rsidRPr="001311A3">
        <w:rPr>
          <w:rFonts w:ascii="garamond" w:hAnsi="garamond"/>
        </w:rPr>
        <w:t xml:space="preserve">Chris Chambers, </w:t>
      </w:r>
      <w:r w:rsidR="004A5912" w:rsidRPr="001311A3">
        <w:rPr>
          <w:rFonts w:ascii="garamond" w:hAnsi="garamond"/>
        </w:rPr>
        <w:t>Soren Dudley,</w:t>
      </w:r>
      <w:r w:rsidRPr="001311A3">
        <w:rPr>
          <w:rFonts w:ascii="garamond" w:hAnsi="garamond"/>
        </w:rPr>
        <w:t xml:space="preserve"> and Alexander Hartley for their generative feedback. </w:t>
      </w:r>
    </w:p>
  </w:footnote>
  <w:footnote w:id="2">
    <w:p w14:paraId="24B0E86B" w14:textId="74170F56" w:rsidR="007438AC" w:rsidRPr="001311A3" w:rsidRDefault="007438AC">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See for example: </w:t>
      </w:r>
      <w:r w:rsidRPr="001311A3">
        <w:rPr>
          <w:rFonts w:ascii="garamond" w:hAnsi="garamond"/>
        </w:rPr>
        <w:fldChar w:fldCharType="begin"/>
      </w:r>
      <w:r w:rsidRPr="001311A3">
        <w:rPr>
          <w:rFonts w:ascii="garamond" w:hAnsi="garamond"/>
        </w:rPr>
        <w:instrText xml:space="preserve"> ADDIN ZOTERO_ITEM CSL_CITATION {"citationID":"bER9MWzf","properties":{"formattedCitation":"Erin Pineda, {\\i{}Seeing Like an Activist: Civil Disobedience and the Civil Rights Movement} (Oxford, New York: Oxford University Press, 2021); Mie Inouye, \\uc0\\u8220{}Starting with People Where They Are: Ella Baker\\uc0\\u8217{}s Theory of Political Organizing,\\uc0\\u8221{} {\\i{}American Political Science Review} 116, no. 2 (May 2022): 533\\uc0\\u8211{}46, https://doi.org/10.1017/S0003055421001015.","plainCitation":"Erin Pineda, Seeing Like an Activist: Civil Disobedience and the Civil Rights Movement (Oxford, New York: Oxford University Press, 2021); Mie Inouye, “Starting with People Where They Are: Ella Baker’s Theory of Political Organizing,” American Political Science Review 116, no. 2 (May 2022): 533–46, https://doi.org/10.1017/S0003055421001015.","noteIndex":2},"citationItems":[{"id":2686,"uris":["http://zotero.org/users/6119520/items/4QVDUGTF"],"itemData":{"id":2686,"type":"book","abstract":"There are few movements more firmly associated with civil disobedience than the Civil Rights Movement. In the mainstream imagination, civil rights activists eschewed coercion, appealed to the majority's principles, and submitted willingly to legal punishment in order to demand necessary legislative reforms and facilitate the realization of core constitutional and democratic principles. Their fidelity to the spirit of the law, commitment to civility, and allegiance to American democracy set the normative standard for liberal philosophies of civil disobedience.  This narrative offers the civil disobedience of the Civil Rights Movement as a moral exemplar: a blueprint for activists who seek transformative change and racial justice within the bounds of democracy. Yet in this book, Erin R. Pineda shows how it more often functions as a disciplining example—a means of scolding activists and quieting dissent. As Pineda argues, the familiar account of Civil Rights disobedience not only misremembers history; it also distorts our political judgments about how civil disobedience might fit into democratic politics.  Seeing Like an Activist charts the emergence of this influential account of civil disobedience in the Civil Rights Movement, and demonstrates its reliance on a narrative about black protest that is itself entangled with white supremacy. Liberal political theorists whose work informed decades of scholarship saw civil disobedience \"like a white state\": taking for granted the legitimacy of the constitutional order, assuming as primary the ends of constitutional integrity and stability, centering the white citizen as the normative ideal, and figuring the problem of racial injustice as limited, exceptional, and all-but-already solved. Instead, this book \"sees\" civil disobedience from the perspective of an activist, showing the consequences for ideas about how civil disobedience ought to unfold in the present. Building on historical and archival evidence, Pineda shows how civil rights activists, in concert with anticolonial movements across the globe, turned to civil disobedience as a practice of decolonization in order to emancipate themselves and others, and in the process transform the racial order. Pineda recovers this powerful alternative account by adopting a different theoretical approach--one which sees activists as themselves engaged in the creative work of political theorizing.","event-place":"Oxford, New York","ISBN":"978-0-19-752642-2","number-of-pages":"280","publisher":"Oxford University Press","publisher-place":"Oxford, New York","source":"Oxford University Press","title":"Seeing Like an Activist: Civil Disobedience and the Civil Rights Movement","title-short":"Seeing Like an Activist","author":[{"family":"Pineda","given":"Erin"}],"issued":{"date-parts":[["2021",4,1]]}}},{"id":10513,"uris":["http://zotero.org/users/6119520/items/T8ZAKQ9D"],"itemData":{"id":10513,"type":"article-journal","abstract":"This article argues that Ella Baker’s ideology of radical democracy shaped her theory of organizing, including her theories of mass action and indigenous leadership. Against the emerging consensus in realist and radical democratic theory that both Baker’s praxis and democratic organizing more broadly are nonideological, I argue that\n              all\n              organizing is ideological if, with Stuart Hall, we understand ideology not as a rigid set of beliefs but as a dynamic framework for understanding society. Organizers make decisions based on their own ideologies and they attempt to maintain or reshape the dominant ideologies. In this sense, organizers are political theorists: they have self-conscious theories of how society works and changes based on which they make strategic decisions. I demonstrate a method for interpreting organizers’ political theories and argue that Baker’s theory of radical democracy offers democratic theory insight into the practices and organizational structures that advance democratization.","container-title":"American Political Science Review","DOI":"10.1017/S0003055421001015","ISSN":"0003-0554, 1537-5943","issue":"2","journalAbbreviation":"Am Polit Sci Rev","language":"en","page":"533-546","source":"DOI.org (Crossref)","title":"Starting with People Where They Are: Ella Baker’s Theory of Political Organizing","title-short":"Starting with People Where They Are","volume":"116","author":[{"family":"Inouye","given":"Mie"}],"issued":{"date-parts":[["2022",5]]}}}],"schema":"https://github.com/citation-style-language/schema/raw/master/csl-citation.json"}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Erin Pineda, </w:t>
      </w:r>
      <w:r w:rsidRPr="001311A3">
        <w:rPr>
          <w:rFonts w:ascii="garamond" w:hAnsi="garamond" w:cs="Calibri"/>
          <w:i/>
          <w:iCs/>
        </w:rPr>
        <w:t>Seeing Like an Activist: Civil Disobedience and the Civil Rights Movement</w:t>
      </w:r>
      <w:r w:rsidRPr="001311A3">
        <w:rPr>
          <w:rFonts w:ascii="garamond" w:hAnsi="garamond" w:cs="Calibri"/>
        </w:rPr>
        <w:t xml:space="preserve"> (Oxford, New York: Oxford University Press, 2021); Mie Inouye, “Starting with People Where They Are: Ella Baker’s Theory of Political Organizing,” </w:t>
      </w:r>
      <w:r w:rsidRPr="001311A3">
        <w:rPr>
          <w:rFonts w:ascii="garamond" w:hAnsi="garamond" w:cs="Calibri"/>
          <w:i/>
          <w:iCs/>
        </w:rPr>
        <w:t>American Political Science Review</w:t>
      </w:r>
      <w:r w:rsidRPr="001311A3">
        <w:rPr>
          <w:rFonts w:ascii="garamond" w:hAnsi="garamond" w:cs="Calibri"/>
        </w:rPr>
        <w:t xml:space="preserve"> 116, no. 2 (May 2022): 533–46.</w:t>
      </w:r>
      <w:r w:rsidRPr="001311A3">
        <w:rPr>
          <w:rFonts w:ascii="garamond" w:hAnsi="garamond"/>
        </w:rPr>
        <w:fldChar w:fldCharType="end"/>
      </w:r>
    </w:p>
  </w:footnote>
  <w:footnote w:id="3">
    <w:p w14:paraId="56B1FD7A" w14:textId="0E45538B" w:rsidR="00E01811" w:rsidRPr="001311A3" w:rsidRDefault="00E01811">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{"citationID":"Nju79jY3","properties":{"formattedCitation":"Edward W. Soja, {\\i{}Postmodern Geographies: The Reassertion of Space in Critical Social Theory} (London: Verso, 2001).","plainCitation":"Edward W. Soja, Postmodern Geographies: The Reassertion of Space in Critical Social Theory (London: Verso, 2001).","noteIndex":3},"citationItems":[{"id":1429,"uris":["http://zotero.org/users/6119520/items/AKG8TKIW"],"itemData":{"id":1429,"type":"book","event-place":"London","publisher":"Verso","publisher-place":"London","title":"Postmodern Geographies: The Reassertion of Space in Critical Social Theory","author":[{"family":"Soja","given":"Edward W."}],"issued":{"date-parts":[["2001"]]}}}],"schema":"https://github.com/citation-style-language/schema/raw/master/csl-citation.json"}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Edward W. Soja, </w:t>
      </w:r>
      <w:r w:rsidRPr="001311A3">
        <w:rPr>
          <w:rFonts w:ascii="garamond" w:hAnsi="garamond" w:cs="Calibri"/>
          <w:i/>
          <w:iCs/>
        </w:rPr>
        <w:t>Postmodern Geographies: The Reassertion of Space in Critical Social Theory</w:t>
      </w:r>
      <w:r w:rsidRPr="001311A3">
        <w:rPr>
          <w:rFonts w:ascii="garamond" w:hAnsi="garamond" w:cs="Calibri"/>
        </w:rPr>
        <w:t xml:space="preserve"> (London: Verso, 2001).</w:t>
      </w:r>
      <w:r w:rsidRPr="001311A3">
        <w:rPr>
          <w:rFonts w:ascii="garamond" w:hAnsi="garamond"/>
        </w:rPr>
        <w:fldChar w:fldCharType="end"/>
      </w:r>
    </w:p>
  </w:footnote>
  <w:footnote w:id="4">
    <w:p w14:paraId="68E5CF8F" w14:textId="4C0FF640" w:rsidR="00D96230" w:rsidRPr="001311A3" w:rsidRDefault="00D96230" w:rsidP="00D96230">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{"citationID":"PaPBzMA7","properties":{"formattedCitation":"Yang Zhang and Dingxin Zhao, \\uc0\\u8220{}The Ecological and Spatial Contexts of Social Movements,\\uc0\\u8221{} in {\\i{}The Wiley Blackwell Companion to Social Movements} (Wiley Blackwell, 2019); See for example Katrina Navickas, {\\i{}Protest and the Politics of Space and Place, 1789-1848} (Manchester: Manchester University Press, 2017); Mark R Beissinger, {\\i{}The Revolutionary City} (Princeton, N.J: Princeton University Press, 2022).","plainCitation":"Yang Zhang and Dingxin Zhao, “The Ecological and Spatial Contexts of Social Movements,” in The Wiley Blackwell Companion to Social Movements (Wiley Blackwell, 2019); See for example Katrina Navickas, Protest and the Politics of Space and Place, 1789-1848 (Manchester: Manchester University Press, 2017); Mark R Beissinger, The Revolutionary City (Princeton, N.J: Princeton University Press, 2022).","noteIndex":2},"citationItems":[{"id":"H4I9t1Na/MCn9Jd3C","uris":["http://zotero.org/users/6119520/items/HSRBI6CE"],"itemData":{"id":4507,"type":"chapter","abstract":"Seems like a good overview of environment research on protest and mobilization.","container-title":"The Wiley Blackwell Companion to Social Movements","publisher":"Wiley Blackwell","title":"The Ecological and Spatial Contexts of Social Movements","author":[{"family":"Zhang","given":"Yang"},{"family":"Zhao","given":"Dingxin"}],"issued":{"date-parts":[["2019"]]}}},{"id":11377,"uris":["http://zotero.org/users/6119520/items/S5GQM8X7"],"itemData":{"id":11377,"type":"book","event-place":"Manchester","publisher":"Manchester University Press","publisher-place":"Manchester","title":"Protest and the politics of space and place, 1789-1848","author":[{"family":"Navickas","given":"Katrina"}],"issued":{"date-parts":[["2017"]]}},"label":"page","prefix":"See for example"},{"id":4413,"uris":["http://zotero.org/users/6119520/items/ETTXBYMX"],"itemData":{"id":4413,"type":"book","event-place":"Princeton, N.J","language":"en","publisher":"Princeton University Press","publisher-place":"Princeton, N.J","source":"Zotero","title":"The Revolutionary City","author":[{"family":"Beissinger","given":"Mark R"}],"issued":{"date-parts":[["2022"]]}}}],"schema":"https://github.com/citation-style-language/schema/raw/master/csl-citation.json"}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Yang Zhang and Dingxin Zhao, “The Ecological and Spatial Contexts of Social Movements,” in </w:t>
      </w:r>
      <w:r w:rsidRPr="001311A3">
        <w:rPr>
          <w:rFonts w:ascii="garamond" w:hAnsi="garamond" w:cs="Times New Roman"/>
          <w:i/>
          <w:iCs/>
        </w:rPr>
        <w:t>The Wiley Blackwell Companion to Social Movements</w:t>
      </w:r>
      <w:r w:rsidRPr="001311A3">
        <w:rPr>
          <w:rFonts w:ascii="garamond" w:hAnsi="garamond" w:cs="Times New Roman"/>
        </w:rPr>
        <w:t xml:space="preserve"> (Wiley Blackwell, 2019); See for example Katrina Navickas, </w:t>
      </w:r>
      <w:r w:rsidRPr="001311A3">
        <w:rPr>
          <w:rFonts w:ascii="garamond" w:hAnsi="garamond" w:cs="Times New Roman"/>
          <w:i/>
          <w:iCs/>
        </w:rPr>
        <w:t>Protest and the Politics of Space and Place, 1789-1848</w:t>
      </w:r>
      <w:r w:rsidRPr="001311A3">
        <w:rPr>
          <w:rFonts w:ascii="garamond" w:hAnsi="garamond" w:cs="Times New Roman"/>
        </w:rPr>
        <w:t xml:space="preserve"> (Manchester: Manchester University Press, 2017); Mark R Beissinger, </w:t>
      </w:r>
      <w:r w:rsidRPr="001311A3">
        <w:rPr>
          <w:rFonts w:ascii="garamond" w:hAnsi="garamond" w:cs="Times New Roman"/>
          <w:i/>
          <w:iCs/>
        </w:rPr>
        <w:t>The Revolutionary City</w:t>
      </w:r>
      <w:r w:rsidRPr="001311A3">
        <w:rPr>
          <w:rFonts w:ascii="garamond" w:hAnsi="garamond" w:cs="Times New Roman"/>
        </w:rPr>
        <w:t xml:space="preserve"> (Princeton, N.J: Princeton University Press, 2022).</w:t>
      </w:r>
      <w:r w:rsidRPr="001311A3">
        <w:rPr>
          <w:rFonts w:ascii="garamond" w:hAnsi="garamond"/>
        </w:rPr>
        <w:fldChar w:fldCharType="end"/>
      </w:r>
    </w:p>
  </w:footnote>
  <w:footnote w:id="5">
    <w:p w14:paraId="5A00BEA3" w14:textId="77777777" w:rsidR="00AC5A0A" w:rsidRPr="001311A3" w:rsidRDefault="00AC5A0A" w:rsidP="00AC5A0A">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See for example </w:t>
      </w:r>
      <w:r w:rsidRPr="001311A3">
        <w:rPr>
          <w:rFonts w:ascii="garamond" w:hAnsi="garamond"/>
        </w:rPr>
        <w:fldChar w:fldCharType="begin"/>
      </w:r>
      <w:r w:rsidRPr="001311A3">
        <w:rPr>
          <w:rFonts w:ascii="garamond" w:hAnsi="garamond"/>
        </w:rPr>
        <w:instrText xml:space="preserve"> ADDIN ZOTERO_ITEM CSL_CITATION {"citationID":"mJ46BZeh","properties":{"formattedCitation":"Juan Herrera, {\\i{}Cartographic Memory: Social Movement Activism and the Production of Space} (Duke University Press, 2022).","plainCitation":"Juan Herrera, Cartographic Memory: Social Movement Activism and the Production of Space (Duke University Press, 2022).","noteIndex":4},"citationItems":[{"id":11418,"uris":["http://zotero.org/users/6119520/items/KNEZ3DE3"],"itemData":{"id":11418,"type":"book","abstract":"In Cartographic Memory, Juan Herrera maps 1960s Chicano movement activism in the Latinx neighborhood of Fruitvale in Oakland, California, showing how activists there constructed a politics forged through productions of space. From Chicano-inspired street murals to the architecture of restaurants and shops, Herrera shows how Fruitvale’s communities and spaces serve as a palpable, living record of movement politics and achievements. Drawing on oral histories with Chicano activists, ethnography, and archival research, Herrera analyzes how activism has shaped Fruitvale. Herrera examines the ongoing nature of activism through nonprofit organizations and urban redevelopment projects like the Fruitvale Transit Village that root movements in place. Revealing that the social justice activism in Fruitvale fights for a space that does not yet exist, Herrera brings to life contentious politics about the nature of Chicanismo, Latinidad, and belonging while foregrounding the lasting social and material legacies of movements so often relegated to the past.","publisher":"Duke University Press","title":"Cartographic Memory: Social Movement Activism and the Production of Space","author":[{"family":"Herrera","given":"Juan"}],"issued":{"date-parts":[["2022"]]}}}],"schema":"https://github.com/citation-style-language/schema/raw/master/csl-citation.json"}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Juan Herrera, </w:t>
      </w:r>
      <w:r w:rsidRPr="001311A3">
        <w:rPr>
          <w:rFonts w:ascii="garamond" w:hAnsi="garamond" w:cs="Calibri"/>
          <w:i/>
          <w:iCs/>
        </w:rPr>
        <w:t>Cartographic Memory: Social Movement Activism and the Production of Space</w:t>
      </w:r>
      <w:r w:rsidRPr="001311A3">
        <w:rPr>
          <w:rFonts w:ascii="garamond" w:hAnsi="garamond" w:cs="Calibri"/>
        </w:rPr>
        <w:t xml:space="preserve"> (Duke University Press, 2022).</w:t>
      </w:r>
      <w:r w:rsidRPr="001311A3">
        <w:rPr>
          <w:rFonts w:ascii="garamond" w:hAnsi="garamond"/>
        </w:rPr>
        <w:fldChar w:fldCharType="end"/>
      </w:r>
    </w:p>
  </w:footnote>
  <w:footnote w:id="6">
    <w:p w14:paraId="53588966" w14:textId="2BFD3EF8" w:rsidR="00D96230" w:rsidRPr="001311A3" w:rsidRDefault="00D96230" w:rsidP="00D96230">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{"citationID":"fSWAjmtY","properties":{"formattedCitation":"See Javier Auyero, \\uc0\\u8220{}Spaces and Places as Sites and Objects of Politics,\\uc0\\u8221{} {\\i{}The Oxford Handbook of Contextual Political Analysis}, March 16, 2006, https://doi.org/10.1093/oxfordhb/9780199270439.003.0030.","plainCitation":"See Javier Auyero, “Spaces and Places as Sites and Objects of Politics,” The Oxford Handbook of Contextual Political Analysis, March 16, 2006, https://doi.org/10.1093/oxfordhb/9780199270439.003.0030.","noteIndex":3},"citationItems":[{"id":685,"uris":["http://zotero.org/users/6119520/items/8SJCLD8Y"],"itemData":{"id":685,"type":"article-journal","abstract":"This article examines the concept of places and spaces as objects and sites of politics. It describes the global scenes of contentious politics in and over space and place and explores the importance of space in the study of politics. It discusses the conception of space as built environment and as a depository of social relations and political actions. It highlights the agreement among geographers and social scientists that contentious politics should be seen both geographically structured and geographically structuring collective practices which means that contention takes place in extant geographies and creates new ones.","container-title":"The Oxford Handbook of Contextual Political Analysis","DOI":"10.1093/oxfordhb/9780199270439.003.0030","language":"en","note":"DOI: 10.1093/oxfordhb/9780199270439.003.0030","source":"DOI.org (Crossref)","title":"Spaces and Places as Sites and Objects of Politics","URL":"http://oxfordhandbooks.com/view/10.1093/oxfordhb/9780199270439.001.0001/oxfordhb-9780199270439-e-030","author":[{"family":"Auyero","given":"Javier"}],"accessed":{"date-parts":[["2019",12,9]]},"issued":{"date-parts":[["2006",3,16]]}},"label":"page","prefix":"See"}],"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See Javier Auyero, “Spaces and Places as Sites and Objects of Politics,” </w:t>
      </w:r>
      <w:r w:rsidRPr="001311A3">
        <w:rPr>
          <w:rFonts w:ascii="garamond" w:hAnsi="garamond" w:cs="Calibri"/>
          <w:i/>
          <w:iCs/>
        </w:rPr>
        <w:t>The Oxford Handbook of Contextual Political Analysis</w:t>
      </w:r>
      <w:r w:rsidRPr="001311A3">
        <w:rPr>
          <w:rFonts w:ascii="garamond" w:hAnsi="garamond" w:cs="Calibri"/>
        </w:rPr>
        <w:t>, March 16, 2006, https://doi.org/10.1093/oxfordhb/9780199270439.003.0030.</w:t>
      </w:r>
      <w:r w:rsidRPr="001311A3">
        <w:rPr>
          <w:rFonts w:ascii="garamond" w:hAnsi="garamond"/>
        </w:rPr>
        <w:fldChar w:fldCharType="end"/>
      </w:r>
    </w:p>
  </w:footnote>
  <w:footnote w:id="7">
    <w:p w14:paraId="069BEFD7" w14:textId="45A291DC" w:rsidR="00D96230" w:rsidRPr="001311A3" w:rsidRDefault="00D96230" w:rsidP="00D96230">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{"citationID":"K7iLWkpn","properties":{"formattedCitation":"Deepti Sailappan and Jason Lalljee, \\uc0\\u8220{}Rallies, Sit-Ins, and Padlocks: The History of Trauma Center Activism,\\uc0\\u8221{} {\\i{}Chicago Maroon}, April 26, 2018, sec. News, https://chicagomaroon.com/25853/news/rallies-sit-ins-padlocks-history-trauma-activism/.","plainCitation":"Deepti Sailappan and Jason Lalljee, “Rallies, Sit-Ins, and Padlocks: The History of Trauma Center Activism,” Chicago Maroon, April 26, 2018, sec. News, https://chicagomaroon.com/25853/news/rallies-sit-ins-padlocks-history-trauma-activism/.","noteIndex":4},"citationItems":[{"id":5208,"uris":["http://zotero.org/users/6119520/items/KGF7FHDC"],"itemData":{"id":5208,"type":"article-newspaper","abstract":"A look back at the long, arduous, and often violent push for a trauma center on campus. It opens on May 1.","container-title":"Chicago Maroon","section":"News","title":"Rallies, Sit-ins, and Padlocks: The History of Trauma Center Activism","title-short":"Rallies, Sit-ins, and Padlocks","URL":"https://chicagomaroon.com/25853/news/rallies-sit-ins-padlocks-history-trauma-activism/","author":[{"family":"Sailappan","given":"Deepti"},{"family":"Lalljee","given":"Jason"}],"accessed":{"date-parts":[["2022",10,11]]},"issued":{"date-parts":[["2018",4,26]]}}}],"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Deepti Sailappan and Jason Lalljee, “Rallies, Sit-Ins, and Padlocks: The History of Trauma Center Activism,” </w:t>
      </w:r>
      <w:r w:rsidRPr="001311A3">
        <w:rPr>
          <w:rFonts w:ascii="garamond" w:hAnsi="garamond" w:cs="Calibri"/>
          <w:i/>
          <w:iCs/>
        </w:rPr>
        <w:t>Chicago Maroon</w:t>
      </w:r>
      <w:r w:rsidRPr="001311A3">
        <w:rPr>
          <w:rFonts w:ascii="garamond" w:hAnsi="garamond" w:cs="Calibri"/>
        </w:rPr>
        <w:t>, April 26, 2018, sec. News, https://chicagomaroon.com/25853/news/rallies-sit-ins-padlocks-history-trauma-activism/.</w:t>
      </w:r>
      <w:r w:rsidRPr="001311A3">
        <w:rPr>
          <w:rFonts w:ascii="garamond" w:hAnsi="garamond"/>
        </w:rPr>
        <w:fldChar w:fldCharType="end"/>
      </w:r>
    </w:p>
  </w:footnote>
  <w:footnote w:id="8">
    <w:p w14:paraId="3D2DE07D" w14:textId="1001573D" w:rsidR="007045BB" w:rsidRPr="001311A3" w:rsidRDefault="007045BB" w:rsidP="007045B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{"citationID":"AmQURga6","properties":{"formattedCitation":"Benjamin Taylor, \\uc0\\u8220{}\\uc0\\u8216{}The Winter of Discount Tents\\uc0\\u8217{}: Occupy London and the Improvised Dwelling as Protest,\\uc0\\u8221{} in {\\i{}Consuming Architecture: On the Occupation, Appropriation, and Interpretation of Buildings}, ed. Daniel Maudlin and Marcel Vellinga (London: Routledge, 2014).","plainCitation":"Benjamin Taylor, “‘The Winter of Discount Tents’: Occupy London and the Improvised Dwelling as Protest,” in Consuming Architecture: On the Occupation, Appropriation, and Interpretation of Buildings, ed. Daniel Maudlin and Marcel Vellinga (London: Routledge, 2014).","noteIndex":5},"citationItems":[{"id":1403,"uris":["http://zotero.org/users/6119520/items/9896IGM4"],"itemData":{"id":1403,"type":"chapter","container-title":"Consuming Architecture: On the occupation, appropriation, and interpretation of buildings","event-place":"London","publisher":"Routledge","publisher-place":"London","title":"\"The winter of discount tents\": Occupy London and the improvised dwelling as protest","title-short":"Consuming Architecture","author":[{"family":"Taylor","given":"Benjamin"}],"editor":[{"family":"Maudlin","given":"Daniel"},{"family":"Vellinga","given":"Marcel"}],"issued":{"date-parts":[["2014"]]}}}],"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Benjamin Taylor, “‘The Winter of Discount Tents’: Occupy London and the Improvised Dwelling as Protest,” in </w:t>
      </w:r>
      <w:r w:rsidRPr="001311A3">
        <w:rPr>
          <w:rFonts w:ascii="garamond" w:hAnsi="garamond" w:cs="Calibri"/>
          <w:i/>
          <w:iCs/>
        </w:rPr>
        <w:t>Consuming Architecture: On the Occupation, Appropriation, and Interpretation of Buildings</w:t>
      </w:r>
      <w:r w:rsidRPr="001311A3">
        <w:rPr>
          <w:rFonts w:ascii="garamond" w:hAnsi="garamond" w:cs="Calibri"/>
        </w:rPr>
        <w:t>, ed. Daniel Maudlin and Marcel Vellinga (London: Routledge, 2014).</w:t>
      </w:r>
      <w:r w:rsidRPr="001311A3">
        <w:rPr>
          <w:rFonts w:ascii="garamond" w:hAnsi="garamond"/>
        </w:rPr>
        <w:fldChar w:fldCharType="end"/>
      </w:r>
      <w:r w:rsidRPr="001311A3">
        <w:rPr>
          <w:rFonts w:ascii="garamond" w:hAnsi="garamond"/>
        </w:rPr>
        <w:t xml:space="preserve"> Also, expressive uses of space in protest occupations tend to rely on implicit claims as to what a just use of public space or the surplus of capital production is.</w:t>
      </w:r>
    </w:p>
  </w:footnote>
  <w:footnote w:id="9">
    <w:p w14:paraId="2409FB65" w14:textId="5EDA3656" w:rsidR="007045BB" w:rsidRPr="001311A3" w:rsidRDefault="007045BB" w:rsidP="007045B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{"citationID":"77AabrYk","properties":{"formattedCitation":"Aja Seldon, \\uc0\\u8220{}How Moms 4 Housing Challenged Oakland\\uc0\\u8217{}s Housing Crisis and Won,\\uc0\\u8221{} {\\i{}KTVU FOX 2}, March 31, 2023, https://www.ktvu.com/news/how-moms-4-housing-challenged-oaklands-housing-crisis-and-won.","plainCitation":"Aja Seldon, “How Moms 4 Housing Challenged Oakland’s Housing Crisis and Won,” KTVU FOX 2, March 31, 2023, https://www.ktvu.com/news/how-moms-4-housing-challenged-oaklands-housing-crisis-and-won.","noteIndex":6},"citationItems":[{"id":10976,"uris":["http://zotero.org/users/6119520/items/5DFBKYW2"],"itemData":{"id":10976,"type":"article-newspaper","abstract":"Moms 4 Housing became a symbol of America's housing crisis. More than three years later, the home on Magnolia Street is back in their hands with a new name and a bigger mission.","container-title":"KTVU FOX 2","language":"en-US","note":"publisher: KTVU FOX 2","title":"How Moms 4 Housing challenged Oakland's housing crisis and won","URL":"https://www.ktvu.com/news/how-moms-4-housing-challenged-oaklands-housing-crisis-and-won","author":[{"family":"Seldon","given":"Aja"}],"accessed":{"date-parts":[["2024",4,25]]},"issued":{"date-parts":[["2023",3,31]]}}}],"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Aja Seldon, “How Moms 4 Housing Challenged Oakland’s Housing Crisis and Won,” </w:t>
      </w:r>
      <w:r w:rsidRPr="001311A3">
        <w:rPr>
          <w:rFonts w:ascii="garamond" w:hAnsi="garamond" w:cs="Calibri"/>
          <w:i/>
          <w:iCs/>
        </w:rPr>
        <w:t>KTVU FOX 2</w:t>
      </w:r>
      <w:r w:rsidRPr="001311A3">
        <w:rPr>
          <w:rFonts w:ascii="garamond" w:hAnsi="garamond" w:cs="Calibri"/>
        </w:rPr>
        <w:t>, March 31, 2023, https://www.ktvu.com/news/how-moms-4-housing-challenged-oaklands-housing-crisis-and-won.</w:t>
      </w:r>
      <w:r w:rsidRPr="001311A3">
        <w:rPr>
          <w:rFonts w:ascii="garamond" w:hAnsi="garamond"/>
        </w:rPr>
        <w:fldChar w:fldCharType="end"/>
      </w:r>
    </w:p>
  </w:footnote>
  <w:footnote w:id="10">
    <w:p w14:paraId="2DFE1F52" w14:textId="01469B1B" w:rsidR="007045BB" w:rsidRPr="001311A3" w:rsidRDefault="007045BB" w:rsidP="007045B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{"citationID":"U10rMCEc","properties":{"formattedCitation":"John Parkinson, {\\i{}Democracy and Public Space: The Physical Sites of Democratic Performance} (Oxford: Oxford University Press, 2012).","plainCitation":"John Parkinson, Democracy and Public Space: The Physical Sites of Democratic Performance (Oxford: Oxford University Press, 2012).","noteIndex":7},"citationItems":[{"id":1179,"uris":["http://zotero.org/users/6119520/items/PP69BDXN"],"itemData":{"id":1179,"type":"book","event-place":"Oxford","publisher":"Oxford University Press","publisher-place":"Oxford","title":"Democracy and Public Space: The Physical Sites of Democratic Performance","title-short":"Democracy and Public Space","author":[{"family":"Parkinson","given":"John"}],"issued":{"date-parts":[["2012"]]}}}],"schema":"https://github.com/citation-style-language/schema/raw/master/csl-citation.json"}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John Parkinson, </w:t>
      </w:r>
      <w:r w:rsidRPr="001311A3">
        <w:rPr>
          <w:rFonts w:ascii="garamond" w:hAnsi="garamond" w:cs="Calibri"/>
          <w:i/>
          <w:iCs/>
        </w:rPr>
        <w:t>Democracy and Public Space: The Physical Sites of Democratic Performance</w:t>
      </w:r>
      <w:r w:rsidRPr="001311A3">
        <w:rPr>
          <w:rFonts w:ascii="garamond" w:hAnsi="garamond" w:cs="Calibri"/>
        </w:rPr>
        <w:t xml:space="preserve"> (Oxford: Oxford University Press, 2012).</w:t>
      </w:r>
      <w:r w:rsidRPr="001311A3">
        <w:rPr>
          <w:rFonts w:ascii="garamond" w:hAnsi="garamond"/>
        </w:rPr>
        <w:fldChar w:fldCharType="end"/>
      </w:r>
    </w:p>
  </w:footnote>
  <w:footnote w:id="11">
    <w:p w14:paraId="09044729" w14:textId="2CECBE85" w:rsidR="007045BB" w:rsidRPr="001311A3" w:rsidRDefault="007045BB" w:rsidP="007045B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{"citationID":"P8LUM9xA","properties":{"formattedCitation":"Margaret Kohn, {\\i{}Radical Space} (Ithaca: Cornell University Press, 2003).","plainCitation":"Margaret Kohn, Radical Space (Ithaca: Cornell University Press, 2003).","noteIndex":11},"citationItems":[{"id":1121,"uris":["http://zotero.org/users/6119520/items/XQ2P6SRQ"],"itemData":{"id":1121,"type":"book","abstract":"Historical and politicial theory investigation into communal housing projects in 20th c Italy and what they tell us about the role of space in local politics.","event-place":"Ithaca","note":"2003","publisher":"Cornell University Press","publisher-place":"Ithaca","title":"Radical Space","author":[{"family":"Kohn","given":"Margaret"}],"issued":{"date-parts":[["2003"]]}}}],"schema":"https://github.com/citation-style-language/schema/raw/master/csl-citation.json"}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Margaret Kohn, </w:t>
      </w:r>
      <w:r w:rsidRPr="001311A3">
        <w:rPr>
          <w:rFonts w:ascii="garamond" w:hAnsi="garamond" w:cs="Times New Roman"/>
          <w:i/>
          <w:iCs/>
        </w:rPr>
        <w:t>Radical Space</w:t>
      </w:r>
      <w:r w:rsidRPr="001311A3">
        <w:rPr>
          <w:rFonts w:ascii="garamond" w:hAnsi="garamond" w:cs="Times New Roman"/>
        </w:rPr>
        <w:t xml:space="preserve"> (Ithaca: Cornell University Press, 2003).</w:t>
      </w:r>
      <w:r w:rsidRPr="001311A3">
        <w:rPr>
          <w:rFonts w:ascii="garamond" w:hAnsi="garamond"/>
        </w:rPr>
        <w:fldChar w:fldCharType="end"/>
      </w:r>
    </w:p>
  </w:footnote>
  <w:footnote w:id="12">
    <w:p w14:paraId="042AB67B" w14:textId="49F5AA73" w:rsidR="007045BB" w:rsidRPr="001311A3" w:rsidRDefault="007045BB" w:rsidP="007045B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Martin extends this by showing how neighborhood identity formation can also be used for social movement mobilization. </w:t>
      </w:r>
      <w:r w:rsidRPr="001311A3">
        <w:rPr>
          <w:rFonts w:ascii="garamond" w:hAnsi="garamond"/>
        </w:rPr>
        <w:fldChar w:fldCharType="begin"/>
      </w:r>
      <w:r w:rsidR="00BB0C6D" w:rsidRPr="001311A3">
        <w:rPr>
          <w:rFonts w:ascii="garamond" w:hAnsi="garamond"/>
        </w:rPr>
        <w:instrText xml:space="preserve"> ADDIN ZOTERO_ITEM CSL_CITATION {"citationID":"e3mc8AdV","properties":{"formattedCitation":"Deborah G. Martin, \\uc0\\u8220{}\\uc0\\u8216{}Place-Framing\\uc0\\u8217{} as Place-Making: Constituting a Neighborhood for Organizing and Activism,\\uc0\\u8221{} {\\i{}Annals of the Association of American Geographers} 93, no. 3 (September 2003): 730\\uc0\\u8211{}50.","plainCitation":"Deborah G. Martin, “‘Place-Framing’ as Place-Making: Constituting a Neighborhood for Organizing and Activism,” Annals of the Association of American Geographers 93, no. 3 (September 2003): 730–50.","noteIndex":9},"citationItems":[{"id":1510,"uris":["http://zotero.org/users/6119520/items/NUGTSR66"],"itemData":{"id":1510,"type":"article-journal","abstract":"How social movements frame organizing by emphasizing shared space","container-title":"Annals of the Association of American Geographers","ISSN":"0004-5608, 1467-8306","issue":"3","journalAbbreviation":"Annals of the Association of American Geographers","language":"en","page":"730-750","source":"DOI.org (Crossref)","title":"“Place-Framing” as Place-Making: Constituting a Neighborhood for Organizing and Activism","title-short":"“Place-Framing” as Place-Making","volume":"93","author":[{"family":"Martin","given":"Deborah G."}],"issued":{"date-parts":[["2003",9]]}},"label":"page"}],"schema":"https://github.com/citation-style-language/schema/raw/master/csl-citation.json"} </w:instrText>
      </w:r>
      <w:r w:rsidRPr="001311A3">
        <w:rPr>
          <w:rFonts w:ascii="garamond" w:hAnsi="garamond"/>
        </w:rPr>
        <w:fldChar w:fldCharType="separate"/>
      </w:r>
      <w:r w:rsidR="00BB0C6D" w:rsidRPr="001311A3">
        <w:rPr>
          <w:rFonts w:ascii="garamond" w:hAnsi="garamond" w:cs="Times New Roman"/>
        </w:rPr>
        <w:t xml:space="preserve">Deborah G. Martin, “‘Place-Framing’ as Place-Making: Constituting a Neighborhood for Organizing and Activism,” </w:t>
      </w:r>
      <w:r w:rsidR="00BB0C6D" w:rsidRPr="001311A3">
        <w:rPr>
          <w:rFonts w:ascii="garamond" w:hAnsi="garamond" w:cs="Times New Roman"/>
          <w:i/>
          <w:iCs/>
        </w:rPr>
        <w:t>Annals of the Association of American Geographers</w:t>
      </w:r>
      <w:r w:rsidR="00BB0C6D" w:rsidRPr="001311A3">
        <w:rPr>
          <w:rFonts w:ascii="garamond" w:hAnsi="garamond" w:cs="Times New Roman"/>
        </w:rPr>
        <w:t xml:space="preserve"> 93, no. 3 (September 2003): 730–50.</w:t>
      </w:r>
      <w:r w:rsidRPr="001311A3">
        <w:rPr>
          <w:rFonts w:ascii="garamond" w:hAnsi="garamond"/>
        </w:rPr>
        <w:fldChar w:fldCharType="end"/>
      </w:r>
    </w:p>
  </w:footnote>
  <w:footnote w:id="13">
    <w:p w14:paraId="7041D72A" w14:textId="3D49387C"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{"citationID":"Cisd1erC","properties":{"formattedCitation":"Molly Farneth, {\\i{}The Politics of Ritual} (Princeton University Press, 2023), 8\\uc0\\u8211{}9.","plainCitation":"Molly Farneth, The Politics of Ritual (Princeton University Press, 2023), 8–9.","noteIndex":13},"citationItems":[{"id":10705,"uris":["http://zotero.org/users/6119520/items/6TNUTAVS"],"itemData":{"id":10705,"type":"book","abstract":"How, and why, are rituals enacted toward political ends? How, and why, do rituals appear in protests and social movements that seek justice? And what do these seemingly extraordinary political enactments of rituals have in common with their more ordinary enactments?","ISBN":"978-0-691-24892-9","language":"en","publisher":"Princeton University Press","title":"The Politics of Ritual","author":[{"family":"Farneth","given":"Molly"}],"accessed":{"date-parts":[["2024",3,18]]},"issued":{"date-parts":[["2023"]]}},"locator":"8-9"}],"schema":"https://github.com/citation-style-language/schema/raw/master/csl-citation.json"}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Molly Farneth, </w:t>
      </w:r>
      <w:r w:rsidRPr="001311A3">
        <w:rPr>
          <w:rFonts w:ascii="garamond" w:hAnsi="garamond" w:cs="Calibri"/>
          <w:i/>
          <w:iCs/>
        </w:rPr>
        <w:t>The Politics of Ritual</w:t>
      </w:r>
      <w:r w:rsidRPr="001311A3">
        <w:rPr>
          <w:rFonts w:ascii="garamond" w:hAnsi="garamond" w:cs="Calibri"/>
        </w:rPr>
        <w:t xml:space="preserve"> (Princeton University Press, 2023), 8–9.</w:t>
      </w:r>
      <w:r w:rsidRPr="001311A3">
        <w:rPr>
          <w:rFonts w:ascii="garamond" w:hAnsi="garamond"/>
        </w:rPr>
        <w:fldChar w:fldCharType="end"/>
      </w:r>
    </w:p>
  </w:footnote>
  <w:footnote w:id="14">
    <w:p w14:paraId="742E8B60" w14:textId="5B836722" w:rsidR="00C20B36" w:rsidRPr="001311A3" w:rsidRDefault="00C20B36" w:rsidP="00315221">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{"citationID":"vSz4odnD","properties":{"formattedCitation":"Saba Mahmood, {\\i{}Politics of Piety} (Princeton, N.J: Princeton University Press, 2004), 128,130.","plainCitation":"Saba Mahmood, Politics of Piety (Princeton, N.J: Princeton University Press, 2004), 128,130.","noteIndex":11},"citationItems":[{"id":11295,"uris":["http://zotero.org/users/6119520/items/HDNV7IN9"],"itemData":{"id":11295,"type":"book","event-place":"Princeton, N.J","publisher":"Princeton University Press","publisher-place":"Princeton, N.J","title":"Politics of Piety","author":[{"family":"Mahmood","given":"Saba"}],"issued":{"date-parts":[["2004"]]}},"locator":"128,130","label":"page"}],"schema":"https://github.com/citation-style-language/schema/raw/master/csl-citation.json"} </w:instrText>
      </w:r>
      <w:r w:rsidRPr="001311A3">
        <w:rPr>
          <w:rFonts w:ascii="garamond" w:hAnsi="garamond"/>
        </w:rPr>
        <w:fldChar w:fldCharType="separate"/>
      </w:r>
      <w:r w:rsidR="00BB0C6D" w:rsidRPr="001311A3">
        <w:rPr>
          <w:rFonts w:ascii="garamond" w:hAnsi="garamond" w:cs="Times New Roman"/>
        </w:rPr>
        <w:t xml:space="preserve">Saba Mahmood, </w:t>
      </w:r>
      <w:r w:rsidR="00BB0C6D" w:rsidRPr="001311A3">
        <w:rPr>
          <w:rFonts w:ascii="garamond" w:hAnsi="garamond" w:cs="Times New Roman"/>
          <w:i/>
          <w:iCs/>
        </w:rPr>
        <w:t>Politics of Piety</w:t>
      </w:r>
      <w:r w:rsidR="00BB0C6D" w:rsidRPr="001311A3">
        <w:rPr>
          <w:rFonts w:ascii="garamond" w:hAnsi="garamond" w:cs="Times New Roman"/>
        </w:rPr>
        <w:t xml:space="preserve"> (Princeton, N.J: Princeton University Press, 2004), 128,130.</w:t>
      </w:r>
      <w:r w:rsidRPr="001311A3">
        <w:rPr>
          <w:rFonts w:ascii="garamond" w:hAnsi="garamond"/>
        </w:rPr>
        <w:fldChar w:fldCharType="end"/>
      </w:r>
      <w:r w:rsidRPr="001311A3">
        <w:rPr>
          <w:rFonts w:ascii="garamond" w:hAnsi="garamond"/>
        </w:rPr>
        <w:t xml:space="preserve"> Mahmood makes this claim about the specific attitude toward prayer understood by a group of young women in Cairo. However, she notes that despite differences in desired subjecthoods, that this understanding of prayer as transformation of the self and alignment to the world is shared by other, more liberal, Muslims (132). Mahmood cautions that this “Self-reflexivity is not a universal human attribute here but, as Foucault suggested, a particular kind of relation to oneself whose form fundamentally</w:t>
      </w:r>
      <w:r w:rsidR="00315221" w:rsidRPr="001311A3">
        <w:rPr>
          <w:rFonts w:ascii="garamond" w:hAnsi="garamond"/>
        </w:rPr>
        <w:t xml:space="preserve"> </w:t>
      </w:r>
      <w:r w:rsidRPr="001311A3">
        <w:rPr>
          <w:rFonts w:ascii="garamond" w:hAnsi="garamond"/>
        </w:rPr>
        <w:t xml:space="preserve">depends on the practices of subjectivation through which the individual is produced” (32). Despite her attempts to relativize it, the self-reflexivity embodied in ritual appears remarkably consistent across very different cultures. </w:t>
      </w:r>
    </w:p>
  </w:footnote>
  <w:footnote w:id="15">
    <w:p w14:paraId="38A5DFE8" w14:textId="44728A8E"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{"citationID":"Kcvf5hV9","properties":{"formattedCitation":"Michel Foucault, {\\i{}Discipline and Punish}, trans. Alan Sheridan (Vintage Books, 1995).","plainCitation":"Michel Foucault, Discipline and Punish, trans. Alan Sheridan (Vintage Books, 1995).","noteIndex":15},"citationItems":[{"id":1157,"uris":["http://zotero.org/users/6119520/items/XLPJ4CLQ"],"itemData":{"id":1157,"type":"book","abstract":"especially panopticon","note":"1975","publisher":"Vintage Books","title":"Discipline and Punish","author":[{"family":"Foucault","given":"Michel"}],"translator":[{"family":"Sheridan","given":"Alan"}],"issued":{"date-parts":[["1995"]]}}}],"schema":"https://github.com/citation-style-language/schema/raw/master/csl-citation.json"} </w:instrText>
      </w:r>
      <w:r w:rsidRPr="001311A3">
        <w:rPr>
          <w:rFonts w:ascii="garamond" w:hAnsi="garamond"/>
        </w:rPr>
        <w:fldChar w:fldCharType="separate"/>
      </w:r>
      <w:r w:rsidR="00840E3F" w:rsidRPr="001311A3">
        <w:rPr>
          <w:rFonts w:ascii="garamond" w:hAnsi="garamond" w:cs="Times New Roman"/>
        </w:rPr>
        <w:t xml:space="preserve">Michel Foucault, </w:t>
      </w:r>
      <w:r w:rsidR="00840E3F" w:rsidRPr="001311A3">
        <w:rPr>
          <w:rFonts w:ascii="garamond" w:hAnsi="garamond" w:cs="Times New Roman"/>
          <w:i/>
          <w:iCs/>
        </w:rPr>
        <w:t>Discipline and Punish</w:t>
      </w:r>
      <w:r w:rsidR="00840E3F" w:rsidRPr="001311A3">
        <w:rPr>
          <w:rFonts w:ascii="garamond" w:hAnsi="garamond" w:cs="Times New Roman"/>
        </w:rPr>
        <w:t>, trans. Alan Sheridan (Vintage Books, 1995).</w:t>
      </w:r>
      <w:r w:rsidRPr="001311A3">
        <w:rPr>
          <w:rFonts w:ascii="garamond" w:hAnsi="garamond"/>
        </w:rPr>
        <w:fldChar w:fldCharType="end"/>
      </w:r>
    </w:p>
  </w:footnote>
  <w:footnote w:id="16">
    <w:p w14:paraId="4E8B8ED6" w14:textId="0AB51C39"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{"citationID":"dxjIwbku","properties":{"formattedCitation":"Ibid., 200.","plainCitation":"Ibid., 200.","noteIndex":16},"citationItems":[{"id":1157,"uris":["http://zotero.org/users/6119520/items/XLPJ4CLQ"],"itemData":{"id":1157,"type":"book","abstract":"especially panopticon","note":"1975","publisher":"Vintage Books","title":"Discipline and Punish","author":[{"family":"Foucault","given":"Michel"}],"translator":[{"family":"Sheridan","given":"Alan"}],"issued":{"date-parts":[["1995"]]}},"locator":"200","label":"page"}],"schema":"https://github.com/citation-style-language/schema/raw/master/csl-citation.json"} </w:instrText>
      </w:r>
      <w:r w:rsidRPr="001311A3">
        <w:rPr>
          <w:rFonts w:ascii="garamond" w:hAnsi="garamond"/>
        </w:rPr>
        <w:fldChar w:fldCharType="separate"/>
      </w:r>
      <w:r w:rsidR="00840E3F" w:rsidRPr="001311A3">
        <w:rPr>
          <w:rFonts w:ascii="garamond" w:hAnsi="garamond"/>
          <w:noProof/>
        </w:rPr>
        <w:t>Ibid., 200.</w:t>
      </w:r>
      <w:r w:rsidRPr="001311A3">
        <w:rPr>
          <w:rFonts w:ascii="garamond" w:hAnsi="garamond"/>
        </w:rPr>
        <w:fldChar w:fldCharType="end"/>
      </w:r>
      <w:r w:rsidRPr="001311A3">
        <w:rPr>
          <w:rFonts w:ascii="garamond" w:hAnsi="garamond"/>
        </w:rPr>
        <w:t xml:space="preserve"> </w:t>
      </w:r>
    </w:p>
  </w:footnote>
  <w:footnote w:id="17">
    <w:p w14:paraId="5AF3937D" w14:textId="6BF9074E"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Much has been made of Foucault’s (exceedingly brief) piece on heterotopias in order to recover an account of Foucauldian radical space. However, Foucault’s focus is consistently on institutions of dominant social power and this theoretically ambiguous text offers few promises resources for an architecture of resistance. </w:t>
      </w:r>
      <w:r w:rsidRPr="001311A3">
        <w:rPr>
          <w:rFonts w:ascii="garamond" w:hAnsi="garamond"/>
        </w:rPr>
        <w:fldChar w:fldCharType="begin"/>
      </w:r>
      <w:r w:rsidR="00BB0C6D" w:rsidRPr="001311A3">
        <w:rPr>
          <w:rFonts w:ascii="garamond" w:hAnsi="garamond"/>
        </w:rPr>
        <w:instrText xml:space="preserve"> ADDIN ZOTERO_ITEM CSL_CITATION {"citationID":"icBnN6b9","properties":{"formattedCitation":"Michel Foucault, \\uc0\\u8220{}Of Other Spaces,\\uc0\\u8221{} trans. Jay Miskowiec, {\\i{}Architecture /Mouvement/ Continuit\\uc0\\u233{}}, October 1984, https://foucault.info/documents/heterotopia/foucault.heteroTopia.en/.","plainCitation":"Michel Foucault, “Of Other Spaces,” trans. Jay Miskowiec, Architecture /Mouvement/ Continuité, October 1984, https://foucault.info/documents/heterotopia/foucault.heteroTopia.en/.","noteIndex":14},"citationItems":[{"id":1771,"uris":["http://zotero.org/users/6119520/items/W59YJFFM"],"itemData":{"id":1771,"type":"article-journal","abstract":"This text, entitled \"Des Espace Autres,\" and published by the French journal Architecture /Mouvement/ Continuité in October, 1984, was the basis of a lecture given by Michel Foucault in March 1967. Although not reviewed for publication by the author and thus not part of the official corpus of his work, the manuscript was released into the public domain for an exhibition in Berlin shortly before Michel Foucault's death. &lt;br /&gt;Translated from the French by Jay Miskowiec.","container-title":"Architecture /Mouvement/ Continuité","note":"1967","title":"Of Other Spaces","URL":"https://foucault.info/documents/heterotopia/foucault.heteroTopia.en/","author":[{"family":"Foucault","given":"Michel"}],"translator":[{"family":"Miskowiec","given":"Jay"}],"accessed":{"date-parts":[["2021",5,4]]},"issued":{"date-parts":[["1984",10]]}}}],"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Michel Foucault, “Of Other Spaces,” trans. Jay Miskowiec, </w:t>
      </w:r>
      <w:r w:rsidRPr="001311A3">
        <w:rPr>
          <w:rFonts w:ascii="garamond" w:hAnsi="garamond" w:cs="Calibri"/>
          <w:i/>
          <w:iCs/>
        </w:rPr>
        <w:t>Architecture /Mouvement/ Continuité</w:t>
      </w:r>
      <w:r w:rsidRPr="001311A3">
        <w:rPr>
          <w:rFonts w:ascii="garamond" w:hAnsi="garamond" w:cs="Calibri"/>
        </w:rPr>
        <w:t>, October 1984, https://foucault.info/documents/heterotopia/foucault.heteroTopia.en/.</w:t>
      </w:r>
      <w:r w:rsidRPr="001311A3">
        <w:rPr>
          <w:rFonts w:ascii="garamond" w:hAnsi="garamond"/>
        </w:rPr>
        <w:fldChar w:fldCharType="end"/>
      </w:r>
    </w:p>
  </w:footnote>
  <w:footnote w:id="18">
    <w:p w14:paraId="4D6E03E4" w14:textId="546F1B8D"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{"citationID":"9tBiNtTG","properties":{"formattedCitation":"Farneth, {\\i{}The Politics of Ritual}, 13.","plainCitation":"Farneth, The Politics of Ritual, 13.","noteIndex":18},"citationItems":[{"id":10705,"uris":["http://zotero.org/users/6119520/items/6TNUTAVS"],"itemData":{"id":10705,"type":"book","abstract":"How, and why, are rituals enacted toward political ends? How, and why, do rituals appear in protests and social movements that seek justice? And what do these seemingly extraordinary political enactments of rituals have in common with their more ordinary enactments?","ISBN":"978-0-691-24892-9","language":"en","publisher":"Princeton University Press","title":"The Politics of Ritual","author":[{"family":"Farneth","given":"Molly"}],"accessed":{"date-parts":[["2024",3,18]]},"issued":{"date-parts":[["2023"]]}},"locator":"13"}],"schema":"https://github.com/citation-style-language/schema/raw/master/csl-citation.json"}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Farneth, </w:t>
      </w:r>
      <w:r w:rsidRPr="001311A3">
        <w:rPr>
          <w:rFonts w:ascii="garamond" w:hAnsi="garamond" w:cs="Calibri"/>
          <w:i/>
          <w:iCs/>
        </w:rPr>
        <w:t>The Politics of Ritual</w:t>
      </w:r>
      <w:r w:rsidRPr="001311A3">
        <w:rPr>
          <w:rFonts w:ascii="garamond" w:hAnsi="garamond" w:cs="Calibri"/>
        </w:rPr>
        <w:t>, 13.</w:t>
      </w:r>
      <w:r w:rsidRPr="001311A3">
        <w:rPr>
          <w:rFonts w:ascii="garamond" w:hAnsi="garamond"/>
        </w:rPr>
        <w:fldChar w:fldCharType="end"/>
      </w:r>
    </w:p>
  </w:footnote>
  <w:footnote w:id="19">
    <w:p w14:paraId="109827BC" w14:textId="75C5C988"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Farneth concedes “whether or not participation in the protest was enough to cultivate new habits and dispositions is debatable—probably not on its own—but for many protesters, this ritual innovation and protest made the national anthem and the dispositions expressed, enacted, and cultivated in it matters of self-conscious reflection.” </w:t>
      </w:r>
      <w:r w:rsidRPr="001311A3">
        <w:rPr>
          <w:rFonts w:ascii="garamond" w:hAnsi="garamond"/>
        </w:rPr>
        <w:fldChar w:fldCharType="begin"/>
      </w:r>
      <w:r w:rsidR="00E01811" w:rsidRPr="001311A3">
        <w:rPr>
          <w:rFonts w:ascii="garamond" w:hAnsi="garamond"/>
        </w:rPr>
        <w:instrText xml:space="preserve"> ADDIN ZOTERO_ITEM CSL_CITATION {"citationID":"qrSX5uOY","properties":{"formattedCitation":"Ibid., 145.","plainCitation":"Ibid., 145.","noteIndex":19},"citationItems":[{"id":10705,"uris":["http://zotero.org/users/6119520/items/6TNUTAVS"],"itemData":{"id":10705,"type":"book","abstract":"How, and why, are rituals enacted toward political ends? How, and why, do rituals appear in protests and social movements that seek justice? And what do these seemingly extraordinary political enactments of rituals have in common with their more ordinary enactments?","ISBN":"978-0-691-24892-9","language":"en","publisher":"Princeton University Press","title":"The Politics of Ritual","author":[{"family":"Farneth","given":"Molly"}],"accessed":{"date-parts":[["2024",3,18]]},"issued":{"date-parts":[["2023"]]}},"locator":"145"}],"schema":"https://github.com/citation-style-language/schema/raw/master/csl-citation.json"} </w:instrText>
      </w:r>
      <w:r w:rsidRPr="001311A3">
        <w:rPr>
          <w:rFonts w:ascii="garamond" w:hAnsi="garamond"/>
        </w:rPr>
        <w:fldChar w:fldCharType="separate"/>
      </w:r>
      <w:r w:rsidRPr="001311A3">
        <w:rPr>
          <w:rFonts w:ascii="garamond" w:hAnsi="garamond" w:cs="Calibri"/>
        </w:rPr>
        <w:t>Ibid., 145.</w:t>
      </w:r>
      <w:r w:rsidRPr="001311A3">
        <w:rPr>
          <w:rFonts w:ascii="garamond" w:hAnsi="garamond"/>
        </w:rPr>
        <w:fldChar w:fldCharType="end"/>
      </w:r>
    </w:p>
  </w:footnote>
  <w:footnote w:id="20">
    <w:p w14:paraId="38390BF9" w14:textId="7349A3F9"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Must prominently with Foucault and Scott. </w:t>
      </w:r>
      <w:r w:rsidRPr="001311A3">
        <w:rPr>
          <w:rFonts w:ascii="garamond" w:hAnsi="garamond"/>
        </w:rPr>
        <w:fldChar w:fldCharType="begin"/>
      </w:r>
      <w:r w:rsidR="00E01811" w:rsidRPr="001311A3">
        <w:rPr>
          <w:rFonts w:ascii="garamond" w:hAnsi="garamond"/>
        </w:rPr>
        <w:instrText xml:space="preserve"> ADDIN ZOTERO_ITEM CSL_CITATION {"citationID":"QkCWKjTw","properties":{"formattedCitation":"Foucault, {\\i{}Discipline and Punish}; James C. Scott, {\\i{}Seeing Like a State: How Certain Schemes to Improve the Human Condition Have Failed} (New Haven: Yale University Press, 2020).","plainCitation":"Foucault, Discipline and Punish; James C. Scott, Seeing Like a State: How Certain Schemes to Improve the Human Condition Have Failed (New Haven: Yale University Press, 2020).","noteIndex":20},"citationItems":[{"id":1157,"uris":["http://zotero.org/users/6119520/items/XLPJ4CLQ"],"itemData":{"id":1157,"type":"book","abstract":"especially panopticon","note":"1975","publisher":"Vintage Books","title":"Discipline and Punish","author":[{"family":"Foucault","given":"Michel"}],"translator":[{"family":"Sheridan","given":"Alan"}],"issued":{"date-parts":[["1995"]]}}},{"id":1156,"uris":["http://zotero.org/users/6119520/items/Z9EPQTU3"],"itemData":{"id":1156,"type":"book","event-place":"New Haven","note":"1998","publisher":"Yale University Press","publisher-place":"New Haven","title":"Seeing Like a State: How Certain Schemes to Improve the Human Condition Have Failed","title-short":"Seeing Like a State","author":[{"family":"Scott","given":"James C."}],"issued":{"date-parts":[["2020"]]}}}],"schema":"https://github.com/citation-style-language/schema/raw/master/csl-citation.json"}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Foucault, </w:t>
      </w:r>
      <w:r w:rsidRPr="001311A3">
        <w:rPr>
          <w:rFonts w:ascii="garamond" w:hAnsi="garamond" w:cs="Calibri"/>
          <w:i/>
          <w:iCs/>
        </w:rPr>
        <w:t>Discipline and Punish</w:t>
      </w:r>
      <w:r w:rsidRPr="001311A3">
        <w:rPr>
          <w:rFonts w:ascii="garamond" w:hAnsi="garamond" w:cs="Calibri"/>
        </w:rPr>
        <w:t xml:space="preserve">; James C. Scott, </w:t>
      </w:r>
      <w:r w:rsidRPr="001311A3">
        <w:rPr>
          <w:rFonts w:ascii="garamond" w:hAnsi="garamond" w:cs="Calibri"/>
          <w:i/>
          <w:iCs/>
        </w:rPr>
        <w:t>Seeing Like a State: How Certain Schemes to Improve the Human Condition Have Failed</w:t>
      </w:r>
      <w:r w:rsidRPr="001311A3">
        <w:rPr>
          <w:rFonts w:ascii="garamond" w:hAnsi="garamond" w:cs="Calibri"/>
        </w:rPr>
        <w:t xml:space="preserve"> (New Haven: Yale University Press, 2020).</w:t>
      </w:r>
      <w:r w:rsidRPr="001311A3">
        <w:rPr>
          <w:rFonts w:ascii="garamond" w:hAnsi="garamond"/>
        </w:rPr>
        <w:fldChar w:fldCharType="end"/>
      </w:r>
    </w:p>
  </w:footnote>
  <w:footnote w:id="21">
    <w:p w14:paraId="7F8D1D87" w14:textId="28F4D488" w:rsidR="00C20B36" w:rsidRPr="001311A3" w:rsidRDefault="00C20B36" w:rsidP="00C20B3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Farneth makes a similar point about ritual, also often understood as a tool of the status quo, as a useful tool for political resistance. </w:t>
      </w:r>
      <w:r w:rsidRPr="001311A3">
        <w:rPr>
          <w:rFonts w:ascii="garamond" w:hAnsi="garamond"/>
        </w:rPr>
        <w:fldChar w:fldCharType="begin"/>
      </w:r>
      <w:r w:rsidR="00E01811" w:rsidRPr="001311A3">
        <w:rPr>
          <w:rFonts w:ascii="garamond" w:hAnsi="garamond"/>
        </w:rPr>
        <w:instrText xml:space="preserve"> ADDIN ZOTERO_ITEM CSL_CITATION {"citationID":"MqD1Ar80","properties":{"formattedCitation":"Farneth, {\\i{}The Politics of Ritual}, 15.","plainCitation":"Farneth, The Politics of Ritual, 15.","noteIndex":21},"citationItems":[{"id":10705,"uris":["http://zotero.org/users/6119520/items/6TNUTAVS"],"itemData":{"id":10705,"type":"book","abstract":"How, and why, are rituals enacted toward political ends? How, and why, do rituals appear in protests and social movements that seek justice? And what do these seemingly extraordinary political enactments of rituals have in common with their more ordinary enactments?","ISBN":"978-0-691-24892-9","language":"en","publisher":"Princeton University Press","title":"The Politics of Ritual","author":[{"family":"Farneth","given":"Molly"}],"accessed":{"date-parts":[["2024",3,18]]},"issued":{"date-parts":[["2023"]]}},"locator":"15"}],"schema":"https://github.com/citation-style-language/schema/raw/master/csl-citation.json"}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Farneth, </w:t>
      </w:r>
      <w:r w:rsidRPr="001311A3">
        <w:rPr>
          <w:rFonts w:ascii="garamond" w:hAnsi="garamond" w:cs="Calibri"/>
          <w:i/>
          <w:iCs/>
        </w:rPr>
        <w:t>The Politics of Ritual</w:t>
      </w:r>
      <w:r w:rsidRPr="001311A3">
        <w:rPr>
          <w:rFonts w:ascii="garamond" w:hAnsi="garamond" w:cs="Calibri"/>
        </w:rPr>
        <w:t>, 15.</w:t>
      </w:r>
      <w:r w:rsidRPr="001311A3">
        <w:rPr>
          <w:rFonts w:ascii="garamond" w:hAnsi="garamond"/>
        </w:rPr>
        <w:fldChar w:fldCharType="end"/>
      </w:r>
      <w:r w:rsidRPr="001311A3">
        <w:rPr>
          <w:rFonts w:ascii="garamond" w:hAnsi="garamond"/>
        </w:rPr>
        <w:t xml:space="preserve"> </w:t>
      </w:r>
    </w:p>
  </w:footnote>
  <w:footnote w:id="22">
    <w:p w14:paraId="3DD9551B" w14:textId="2EABE494"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However, I depart from Boggs’ description of a distinct programme of prefigurative politics which emphasizes decentralization, democratic participation, and ideological pluralism; in his work, prefigurative politics is a communist tactic which stands in direct contrast to statist communism. Although these programmatic commitments often overlap with the cases I describe here, I use ‘prefigurative’ simply to describe practices which attempt to translate general political principles into concrete practices in the present. </w:t>
      </w:r>
      <w:r w:rsidRPr="001311A3">
        <w:rPr>
          <w:rFonts w:ascii="garamond" w:hAnsi="garamond"/>
        </w:rPr>
        <w:fldChar w:fldCharType="begin"/>
      </w:r>
      <w:r w:rsidR="00BB0C6D" w:rsidRPr="001311A3">
        <w:rPr>
          <w:rFonts w:ascii="garamond" w:hAnsi="garamond"/>
        </w:rPr>
        <w:instrText xml:space="preserve"> ADDIN ZOTERO_ITEM CSL_CITATION {"citationID":"1mFLqeZw","properties":{"formattedCitation":"Carl Boggs, \\uc0\\u8220{}Marxism, Prefigurative Communism, And The Problem Of Workers\\uc0\\u8217{} Control,\\uc0\\u8221{} {\\i{}Radical America}, no. 11 (November 1977): 100.","plainCitation":"Carl Boggs, “Marxism, Prefigurative Communism, And The Problem Of Workers’ Control,” Radical America, no. 11 (November 1977): 100.","noteIndex":19},"citationItems":[{"id":5354,"uris":["http://zotero.org/users/6119520/items/VXW9HN7D"],"itemData":{"id":5354,"type":"article-journal","container-title":"Radical America","issue":"11","language":"en","source":"Zotero","title":"Marxism, Prefigurative Communism, And The Problem Of Workers’ Control","author":[{"family":"Boggs","given":"Carl"}],"issued":{"date-parts":[["1977",11]]}},"locator":"100","label":"page"}],"schema":"https://github.com/citation-style-language/schema/raw/master/csl-citation.json"}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Carl Boggs, “Marxism, Prefigurative Communism, And </w:t>
      </w:r>
      <w:r w:rsidR="000E7793" w:rsidRPr="001311A3">
        <w:rPr>
          <w:rFonts w:ascii="garamond" w:hAnsi="garamond" w:cs="Times New Roman"/>
        </w:rPr>
        <w:t>the</w:t>
      </w:r>
      <w:r w:rsidRPr="001311A3">
        <w:rPr>
          <w:rFonts w:ascii="garamond" w:hAnsi="garamond" w:cs="Times New Roman"/>
        </w:rPr>
        <w:t xml:space="preserve"> Problem Of Workers’ Control,” </w:t>
      </w:r>
      <w:r w:rsidRPr="001311A3">
        <w:rPr>
          <w:rFonts w:ascii="garamond" w:hAnsi="garamond" w:cs="Times New Roman"/>
          <w:i/>
          <w:iCs/>
        </w:rPr>
        <w:t>Radical America</w:t>
      </w:r>
      <w:r w:rsidRPr="001311A3">
        <w:rPr>
          <w:rFonts w:ascii="garamond" w:hAnsi="garamond" w:cs="Times New Roman"/>
        </w:rPr>
        <w:t>, no. 11 (November 1977): 100.</w:t>
      </w:r>
      <w:r w:rsidRPr="001311A3">
        <w:rPr>
          <w:rFonts w:ascii="garamond" w:hAnsi="garamond"/>
        </w:rPr>
        <w:fldChar w:fldCharType="end"/>
      </w:r>
    </w:p>
  </w:footnote>
  <w:footnote w:id="23">
    <w:p w14:paraId="0EA8F869" w14:textId="4D52131B" w:rsidR="00AC1D89" w:rsidRPr="001311A3" w:rsidRDefault="00AC1D89" w:rsidP="00AC1D89">
      <w:pPr>
        <w:pStyle w:val="Bibliography"/>
        <w:ind w:left="0" w:firstLine="0"/>
        <w:rPr>
          <w:rFonts w:ascii="garamond" w:hAnsi="garamond"/>
          <w:sz w:val="20"/>
          <w:szCs w:val="20"/>
        </w:rPr>
      </w:pPr>
      <w:r w:rsidRPr="001311A3">
        <w:rPr>
          <w:rStyle w:val="FootnoteReference"/>
          <w:rFonts w:ascii="garamond" w:hAnsi="garamond"/>
          <w:sz w:val="20"/>
          <w:szCs w:val="20"/>
        </w:rPr>
        <w:footnoteRef/>
      </w:r>
      <w:r w:rsidRPr="001311A3">
        <w:rPr>
          <w:rFonts w:ascii="garamond" w:hAnsi="garamond"/>
          <w:sz w:val="20"/>
          <w:szCs w:val="20"/>
        </w:rPr>
        <w:t xml:space="preserve"> As Luke Yates points out, ‘prefigurative politics’ often refers to two different phenomena: embodying one’s idealistic principles in the present, even if the present conditions are </w:t>
      </w:r>
      <w:r w:rsidR="000E7793" w:rsidRPr="001311A3">
        <w:rPr>
          <w:rFonts w:ascii="garamond" w:hAnsi="garamond"/>
          <w:sz w:val="20"/>
          <w:szCs w:val="20"/>
        </w:rPr>
        <w:t>averse</w:t>
      </w:r>
      <w:r w:rsidRPr="001311A3">
        <w:rPr>
          <w:rFonts w:ascii="garamond" w:hAnsi="garamond"/>
          <w:sz w:val="20"/>
          <w:szCs w:val="20"/>
        </w:rPr>
        <w:t xml:space="preserve"> to them; and, enacting broader goals for an ideal future’s structure on a small scale in the present. Thus, we might call these ethical prefiguration and concrete prefiguration. Here I am focusing on concrete prefiguration, as protest occupations function primarily as models for future structures. However, as I hope to explore in the future, modeling ideal future political configurations in these protest occupations also involves an ethical commitment to collaboration.</w:t>
      </w:r>
      <w:r w:rsidRPr="001311A3">
        <w:rPr>
          <w:rFonts w:ascii="garamond" w:hAnsi="garamond"/>
          <w:sz w:val="20"/>
          <w:szCs w:val="20"/>
        </w:rPr>
        <w:t xml:space="preserve"> </w:t>
      </w:r>
      <w:r w:rsidRPr="001311A3">
        <w:rPr>
          <w:rFonts w:ascii="garamond" w:hAnsi="garamond"/>
          <w:sz w:val="20"/>
          <w:szCs w:val="20"/>
        </w:rPr>
        <w:fldChar w:fldCharType="begin"/>
      </w:r>
      <w:r w:rsidR="00E01811" w:rsidRPr="001311A3">
        <w:rPr>
          <w:rFonts w:ascii="garamond" w:hAnsi="garamond"/>
          <w:sz w:val="20"/>
          <w:szCs w:val="20"/>
        </w:rPr>
        <w:instrText xml:space="preserve"> ADDIN ZOTERO_ITEM CSL_CITATION {"citationID":"WZBPzzJM","properties":{"formattedCitation":"As Yates points out, \\uc0\\u8216{}prefigurative politics\\uc0\\u8217{} often refers to two different phenomena: embodying one\\uc0\\u8217{}s idealistic principles in the present, even if the present conditions are adverse to them; and, enacting broader goals for an ideal future\\uc0\\u8217{}s structure on a small scale in the present. Thus we might call these ethical prefiguration and concrete prefiguration. Here I am focusing on concrete prefiguration, as protest occupations function primarily as models for future structures. However, as I hope to explore in the future, modeling ideal future political configurations in these protest occupations also involves an ethical commitment to collaboration. Luke Yates, \\uc0\\u8220{}Rethinking Prefiguration: Alternatives, Micropolitics and Goals in Social Movements,\\uc0\\u8221{} {\\i{}Social Movement Studies} 14, no. 1 (January 2, 2015): 1\\uc0\\u8211{}21, https://doi.org/10.1080/14742837.2013.870883.","plainCitation":"As Yates points out, ‘prefigurative politics’ often refers to two different phenomena: embodying one’s idealistic principles in the present, even if the present conditions are adverse to them; and, enacting broader goals for an ideal future’s structure on a small scale in the present. Thus we might call these ethical prefiguration and concrete prefiguration. Here I am focusing on concrete prefiguration, as protest occupations function primarily as models for future structures. However, as I hope to explore in the future, modeling ideal future political configurations in these protest occupations also involves an ethical commitment to collaboration. Luke Yates, “Rethinking Prefiguration: Alternatives, Micropolitics and Goals in Social Movements,” Social Movement Studies 14, no. 1 (January 2, 2015): 1–21, https://doi.org/10.1080/14742837.2013.870883.","dontUpdate":true,"noteIndex":23},"citationItems":[{"id":3870,"uris":["http://zotero.org/users/6119520/items/TGTPPWZI"],"itemData":{"id":3870,"type":"article-journal","abstract":"Theories and concepts for understanding the political logic of social movements’ everyday activities, particularly those which relate directly to political goals, have been increasingly important since the late 1970s. The notion of ‘preﬁgurative politics’ is becoming established in this debate and refers to scenarios where protesters express the political ‘ends’ of their actions through their ‘means’, or where they create experimental or ‘alternative’ social arrangements or institutions. Both meanings share the idea that preﬁguration anticipates or partially actualises goals sought by movements. This article uses narratives and observations gathered in social movement ‘free spaces’, autonomous social centres in Barcelona, to evaluate, critique and rearticulate the concept. Participants’ attention to the ‘means’ through which protest is carried out and emphasis on projects such as experimentation with alternative social and organisational forms suggest they engage in preﬁgurative politics. However, the article uses these examples to dispute the key ways through which preﬁguration has been deﬁned, arguing that it can better be deployed in referring to the relations, and tensions, between a set of political priorities. Understood as such, preﬁgurative politics combines ﬁve processes: collective experimentation, the imagining, production and circulation of political meanings, the creating of new and future-oriented social norms or ‘conduct’, their consolidation in movement infrastructure, and the diffusion and contamination of ideas, messages and goals to wider networks and constituencies.","container-title":"Social Movement Studies","issue":"1","journalAbbreviation":"Social Movement Studies","language":"en","page":"1-21","title":"Rethinking Prefiguration: Alternatives, Micropolitics and Goals in Social Movements","title-short":"Rethinking Prefiguration","volume":"14","author":[{"family":"Yates","given":"Luke"}],"issued":{"date-parts":[["2015",1,2]]}},"label":"page","prefix":"As Yates points out, ‘prefigurative politics’ often refers to two different phenomena: embodying one’s idealistic principles in the present, even if the present conditions are adverse to them; and, enacting broader goals for an ideal future’s structure on a small scale in the present.  Thus we might call these ethical prefiguration and concrete prefiguration. Here I am focusing on concrete prefiguration, as protest occupations function primarily as models for future structures. However, as I hope to explore in the future, modeling ideal future political configurations in these protest occupations also involves an ethical commitment to collaboration."}],"schema":"https://github.com/citation-style-language/schema/raw/master/csl-citation.json"} </w:instrText>
      </w:r>
      <w:r w:rsidRPr="001311A3">
        <w:rPr>
          <w:rFonts w:ascii="garamond" w:hAnsi="garamond"/>
          <w:sz w:val="20"/>
          <w:szCs w:val="20"/>
        </w:rPr>
        <w:fldChar w:fldCharType="separate"/>
      </w:r>
      <w:r w:rsidRPr="001311A3">
        <w:rPr>
          <w:rFonts w:ascii="garamond" w:hAnsi="garamond" w:cs="Calibri"/>
          <w:sz w:val="20"/>
          <w:szCs w:val="20"/>
        </w:rPr>
        <w:t xml:space="preserve">Luke Yates, “Rethinking Prefiguration: Alternatives, Micropolitics and Goals in Social Movements,” </w:t>
      </w:r>
      <w:r w:rsidRPr="001311A3">
        <w:rPr>
          <w:rFonts w:ascii="garamond" w:hAnsi="garamond" w:cs="Calibri"/>
          <w:i/>
          <w:iCs/>
          <w:sz w:val="20"/>
          <w:szCs w:val="20"/>
        </w:rPr>
        <w:t>Social Movement Studies</w:t>
      </w:r>
      <w:r w:rsidRPr="001311A3">
        <w:rPr>
          <w:rFonts w:ascii="garamond" w:hAnsi="garamond" w:cs="Calibri"/>
          <w:sz w:val="20"/>
          <w:szCs w:val="20"/>
        </w:rPr>
        <w:t xml:space="preserve"> 14, no. 1 (January 2, 2015): 1–21, https://doi.org/10.1080/14742837.2013.870883.</w:t>
      </w:r>
      <w:r w:rsidRPr="001311A3">
        <w:rPr>
          <w:rFonts w:ascii="garamond" w:hAnsi="garamond"/>
          <w:sz w:val="20"/>
          <w:szCs w:val="20"/>
        </w:rPr>
        <w:fldChar w:fldCharType="end"/>
      </w:r>
    </w:p>
  </w:footnote>
  <w:footnote w:id="24">
    <w:p w14:paraId="2277636A" w14:textId="76D8FA0D" w:rsidR="00AC7BFB" w:rsidRPr="001311A3" w:rsidRDefault="00AC7BF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{"citationID":"T0CRE6Wn","properties":{"formattedCitation":"David Graeber, \\uc0\\u8220{}Occupy Wall Street\\uc0\\u8217{}s Anarchist Roots,\\uc0\\u8221{} {\\i{}Al Jazeera}, November 30, 2011, sec. Opinion, https://www.aljazeera.com/opinions/2011/11/30/occupy-wall-streets-anarchist-roots.","plainCitation":"David Graeber, “Occupy Wall Street’s Anarchist Roots,” Al Jazeera, November 30, 2011, sec. Opinion, https://www.aljazeera.com/opinions/2011/11/30/occupy-wall-streets-anarchist-roots.","noteIndex":23},"citationItems":[{"id":12249,"uris":["http://zotero.org/users/6119520/items/3X8I28FV"],"itemData":{"id":12249,"type":"article-newspaper","container-title":"Al Jazeera","section":"Opinion","title":"Occupy Wall Street’s Anarchist Roots","URL":"https://www.aljazeera.com/opinions/2011/11/30/occupy-wall-streets-anarchist-roots","author":[{"family":"Graeber","given":"David"}],"accessed":{"date-parts":[["2024",8,29]]},"issued":{"date-parts":[["2011",11,30]]}}}],"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David Graeber, “Occupy Wall Street’s Anarchist Roots,” </w:t>
      </w:r>
      <w:r w:rsidRPr="001311A3">
        <w:rPr>
          <w:rFonts w:ascii="garamond" w:hAnsi="garamond" w:cs="Calibri"/>
          <w:i/>
          <w:iCs/>
        </w:rPr>
        <w:t>Al Jazeera</w:t>
      </w:r>
      <w:r w:rsidRPr="001311A3">
        <w:rPr>
          <w:rFonts w:ascii="garamond" w:hAnsi="garamond" w:cs="Calibri"/>
        </w:rPr>
        <w:t>, November 30, 2011, sec. Opinion, https://www.aljazeera.com/opinions/2011/11/30/occupy-wall-streets-anarchist-roots.</w:t>
      </w:r>
      <w:r w:rsidRPr="001311A3">
        <w:rPr>
          <w:rFonts w:ascii="garamond" w:hAnsi="garamond"/>
        </w:rPr>
        <w:fldChar w:fldCharType="end"/>
      </w:r>
    </w:p>
  </w:footnote>
  <w:footnote w:id="25">
    <w:p w14:paraId="61079BD6" w14:textId="5746103C"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Federico Campagna and Emanuele Campiglio, quoted in Kinna. </w:t>
      </w:r>
      <w:r w:rsidRPr="001311A3">
        <w:rPr>
          <w:rFonts w:ascii="garamond" w:hAnsi="garamond"/>
        </w:rPr>
        <w:fldChar w:fldCharType="begin"/>
      </w:r>
      <w:r w:rsidR="00E01811" w:rsidRPr="001311A3">
        <w:rPr>
          <w:rFonts w:ascii="garamond" w:hAnsi="garamond"/>
        </w:rPr>
        <w:instrText xml:space="preserve"> ADDIN ZOTERO_ITEM CSL_CITATION {"citationID":"GOMXaDOK","properties":{"formattedCitation":"Ruth Kinna, \\uc0\\u8220{}Utopianism and Prefiguration,\\uc0\\u8221{} in {\\i{}Political Uses of Utopia}, ed. S. D. Chrostowska and James D. Ingram (New York: Columbia University Press, 2017), 202, https://www.degruyter.com/document/doi/10.7312/chro17958-011/html; Yates, \\uc0\\u8220{}Rethinking Prefiguration.\\uc0\\u8221{}","plainCitation":"Ruth Kinna, “Utopianism and Prefiguration,” in Political Uses of Utopia, ed. S. D. Chrostowska and James D. Ingram (New York: Columbia University Press, 2017), 202, https://www.degruyter.com/document/doi/10.7312/chro17958-011/html; Yates, “Rethinking Prefiguration.”","noteIndex":25},"citationItems":[{"id":1977,"uris":["http://zotero.org/users/6119520/items/29EH83W4"],"itemData":{"id":1977,"type":"chapter","container-title":"Political Uses of Utopia","event-place":"New York","ISBN":"978-0-231-54431-3","language":"en","note":"2015","page":"198-216","publisher":"Columbia University Press","publisher-place":"New York","source":"DOI.org (Crossref)","title":"Utopianism and Prefiguration","URL":"https://www.degruyter.com/document/doi/10.7312/chro17958-011/html","editor":[{"family":"Chrostowska","given":"S. D."},{"family":"Ingram","given":"James D."}],"author":[{"family":"Kinna","given":"Ruth"}],"accessed":{"date-parts":[["2021",6,26]]},"issued":{"date-parts":[["2017",12,31]]}},"locator":"202","label":"page"},{"id":3870,"uris":["http://zotero.org/users/6119520/items/TGTPPWZI"],"itemData":{"id":3870,"type":"article-journal","abstract":"Theories and concepts for understanding the political logic of social movements’ everyday activities, particularly those which relate directly to political goals, have been increasingly important since the late 1970s. The notion of ‘preﬁgurative politics’ is becoming established in this debate and refers to scenarios where protesters express the political ‘ends’ of their actions through their ‘means’, or where they create experimental or ‘alternative’ social arrangements or institutions. Both meanings share the idea that preﬁguration anticipates or partially actualises goals sought by movements. This article uses narratives and observations gathered in social movement ‘free spaces’, autonomous social centres in Barcelona, to evaluate, critique and rearticulate the concept. Participants’ attention to the ‘means’ through which protest is carried out and emphasis on projects such as experimentation with alternative social and organisational forms suggest they engage in preﬁgurative politics. However, the article uses these examples to dispute the key ways through which preﬁguration has been deﬁned, arguing that it can better be deployed in referring to the relations, and tensions, between a set of political priorities. Understood as such, preﬁgurative politics combines ﬁve processes: collective experimentation, the imagining, production and circulation of political meanings, the creating of new and future-oriented social norms or ‘conduct’, their consolidation in movement infrastructure, and the diffusion and contamination of ideas, messages and goals to wider networks and constituencies.","container-title":"Social Movement Studies","issue":"1","journalAbbreviation":"Social Movement Studies","language":"en","page":"1-21","title":"Rethinking Prefiguration: Alternatives, Micropolitics and Goals in Social Movements","title-short":"Rethinking Prefiguration","volume":"14","author":[{"family":"Yates","given":"Luke"}],"issued":{"date-parts":[["2015",1,2]]}}}],"schema":"https://github.com/citation-style-language/schema/raw/master/csl-citation.json"} </w:instrText>
      </w:r>
      <w:r w:rsidRPr="001311A3">
        <w:rPr>
          <w:rFonts w:ascii="garamond" w:hAnsi="garamond"/>
        </w:rPr>
        <w:fldChar w:fldCharType="separate"/>
      </w:r>
      <w:r w:rsidR="007438AC" w:rsidRPr="001311A3">
        <w:rPr>
          <w:rFonts w:ascii="garamond" w:hAnsi="garamond" w:cs="Times New Roman"/>
        </w:rPr>
        <w:t xml:space="preserve">Ruth Kinna, “Utopianism and Prefiguration,” in </w:t>
      </w:r>
      <w:r w:rsidR="007438AC" w:rsidRPr="001311A3">
        <w:rPr>
          <w:rFonts w:ascii="garamond" w:hAnsi="garamond" w:cs="Times New Roman"/>
          <w:i/>
          <w:iCs/>
        </w:rPr>
        <w:t>Political Uses of Utopia</w:t>
      </w:r>
      <w:r w:rsidR="007438AC" w:rsidRPr="001311A3">
        <w:rPr>
          <w:rFonts w:ascii="garamond" w:hAnsi="garamond" w:cs="Times New Roman"/>
        </w:rPr>
        <w:t>, ed. S. D. Chrostowska and James D. Ingram (New York: Columbia University Press, 2017), 202, https://www.degruyter.com/document/doi/10.7312/chro17958-011/html; Yates, “Rethinking Prefiguration.”</w:t>
      </w:r>
      <w:r w:rsidRPr="001311A3">
        <w:rPr>
          <w:rFonts w:ascii="garamond" w:hAnsi="garamond"/>
        </w:rPr>
        <w:fldChar w:fldCharType="end"/>
      </w:r>
      <w:r w:rsidRPr="001311A3">
        <w:rPr>
          <w:rFonts w:ascii="garamond" w:hAnsi="garamond"/>
        </w:rPr>
        <w:t xml:space="preserve"> Experimentation figures as one of several diverse processes that Yates identifies with prefiguration as well, in a study of free spaces that captures well the overlapping political goals of spatial occupation.</w:t>
      </w:r>
    </w:p>
  </w:footnote>
  <w:footnote w:id="26">
    <w:p w14:paraId="25D9345C" w14:textId="7B70E821"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Analytic philosophers have recognized the role of spatial immersion in shifting political attitudes. Elizabeth Anderson argues that ‘experiments in living’ allow us to identify contradictions within our ethical commitments.  Habitual exposure to bias-challenging and opportunities to “change habits underwritten by conduct underwritten by shared expectations and attitudes” allows for broader social changes in attitudes.  While her work elevates the importance of embodiment and practice in shaping how we engage with the political world, she focuses on how it shapes our practical reasoning. Turning to theories of practice, Bourdieu in particular, we get a better sense of the way that practice shapes our sense of the political present. This allows us to better understand how space-making—as an arena in which practice is shaped and constrained—can be a tool for stretching our understanding of the political present. </w:t>
      </w:r>
      <w:r w:rsidRPr="001311A3">
        <w:rPr>
          <w:rFonts w:ascii="garamond" w:hAnsi="garamond"/>
        </w:rPr>
        <w:fldChar w:fldCharType="begin"/>
      </w:r>
      <w:r w:rsidR="00BB0C6D" w:rsidRPr="001311A3">
        <w:rPr>
          <w:rFonts w:ascii="garamond" w:hAnsi="garamond"/>
        </w:rPr>
        <w:instrText xml:space="preserve"> ADDIN ZOTERO_ITEM CSL_CITATION {"citationID":"7HpJkUTN","properties":{"formattedCitation":"Elizabeth Anderson, \\uc0\\u8220{}Social Movements, Experiments in Living, and Moral Progress: Case Studies from Britain\\uc0\\u8217{}s Abolition of Slavery\\uc0\\u8221{} (Lecture, The E. H. Lindley Memorial Lecture Series, University of Kansas, February 11, 2014).","plainCitation":"Elizabeth Anderson, “Social Movements, Experiments in Living, and Moral Progress: Case Studies from Britain’s Abolition of Slavery” (Lecture, The E. H. Lindley Memorial Lecture Series, University of Kansas, February 11, 2014).","noteIndex":24},"citationItems":[{"id":4460,"uris":["http://zotero.org/users/6119520/items/6FMJHNWJ"],"itemData":{"id":4460,"type":"speech","event-place":"University of Kansas","event-title":"The E. H. Lindley Memorial Lecture Series","genre":"Lecture","publisher-place":"University of Kansas","title":"Social Movements, Experiments in Living, and Moral Progress: Case Studies from Britain's Abolition of Slavery","title-short":"Case Studies from Britain's Abolition of Slavery","author":[{"family":"Anderson","given":"Elizabeth"}],"issued":{"date-parts":[["2014",2,11]]}}}],"schema":"https://github.com/citation-style-language/schema/raw/master/csl-citation.json"} </w:instrText>
      </w:r>
      <w:r w:rsidRPr="001311A3">
        <w:rPr>
          <w:rFonts w:ascii="garamond" w:hAnsi="garamond"/>
        </w:rPr>
        <w:fldChar w:fldCharType="separate"/>
      </w:r>
      <w:r w:rsidRPr="001311A3">
        <w:rPr>
          <w:rFonts w:ascii="garamond" w:hAnsi="garamond" w:cs="Calibri"/>
        </w:rPr>
        <w:t>Elizabeth Anderson, “Social Movements, Experiments in Living, and Moral Progress: Case Studies from Britain’s Abolition of Slavery” (Lecture, The E. H. Lindley Memorial Lecture Series, University of Kansas, February 11, 2014).</w:t>
      </w:r>
      <w:r w:rsidRPr="001311A3">
        <w:rPr>
          <w:rFonts w:ascii="garamond" w:hAnsi="garamond"/>
        </w:rPr>
        <w:fldChar w:fldCharType="end"/>
      </w:r>
    </w:p>
  </w:footnote>
  <w:footnote w:id="27">
    <w:p w14:paraId="18BA7EA6" w14:textId="2FCC461A"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{"citationID":"ZlDpOXXJ","properties":{"formattedCitation":"Pierre Bourdieu, {\\i{}The Logic of Practice}, trans. Richard Nice, 1990, 69\\uc0\\u8211{}70.","plainCitation":"Pierre Bourdieu, The Logic of Practice, trans. Richard Nice, 1990, 69–70.","noteIndex":27},"citationItems":[{"id":3592,"uris":["http://zotero.org/users/6119520/items/66KXFRZU"],"itemData":{"id":3592,"type":"book","note":"1980","title":"The Logic of Practice","author":[{"family":"Bourdieu","given":"Pierre"}],"translator":[{"family":"Nice","given":"Richard"}],"issued":{"date-parts":[["1990"]]}},"locator":"69-70"}],"schema":"https://github.com/citation-style-language/schema/raw/master/csl-citation.json"}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Pierre Bourdieu, </w:t>
      </w:r>
      <w:r w:rsidRPr="001311A3">
        <w:rPr>
          <w:rFonts w:ascii="garamond" w:hAnsi="garamond" w:cs="Calibri"/>
          <w:i/>
          <w:iCs/>
        </w:rPr>
        <w:t>The Logic of Practice</w:t>
      </w:r>
      <w:r w:rsidRPr="001311A3">
        <w:rPr>
          <w:rFonts w:ascii="garamond" w:hAnsi="garamond" w:cs="Calibri"/>
        </w:rPr>
        <w:t>, trans. Richard Nice, 1990, 69–70.</w:t>
      </w:r>
      <w:r w:rsidRPr="001311A3">
        <w:rPr>
          <w:rFonts w:ascii="garamond" w:hAnsi="garamond"/>
        </w:rPr>
        <w:fldChar w:fldCharType="end"/>
      </w:r>
      <w:r w:rsidRPr="001311A3">
        <w:rPr>
          <w:rFonts w:ascii="garamond" w:hAnsi="garamond"/>
        </w:rPr>
        <w:t xml:space="preserve"> Emphasis in original. </w:t>
      </w:r>
    </w:p>
  </w:footnote>
  <w:footnote w:id="28">
    <w:p w14:paraId="459955E2" w14:textId="4CD0BA35"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{"citationID":"CO6LCEyq","properties":{"formattedCitation":"Ibid., 69.","plainCitation":"Ibid., 69.","noteIndex":28},"citationItems":[{"id":3592,"uris":["http://zotero.org/users/6119520/items/66KXFRZU"],"itemData":{"id":3592,"type":"book","note":"1980","title":"The Logic of Practice","author":[{"family":"Bourdieu","given":"Pierre"}],"translator":[{"family":"Nice","given":"Richard"}],"issued":{"date-parts":[["1990"]]}},"locator":"69"}],"schema":"https://github.com/citation-style-language/schema/raw/master/csl-citation.json"} </w:instrText>
      </w:r>
      <w:r w:rsidRPr="001311A3">
        <w:rPr>
          <w:rFonts w:ascii="garamond" w:hAnsi="garamond"/>
        </w:rPr>
        <w:fldChar w:fldCharType="separate"/>
      </w:r>
      <w:r w:rsidRPr="001311A3">
        <w:rPr>
          <w:rFonts w:ascii="garamond" w:hAnsi="garamond"/>
          <w:noProof/>
        </w:rPr>
        <w:t>Ibid., 69.</w:t>
      </w:r>
      <w:r w:rsidRPr="001311A3">
        <w:rPr>
          <w:rFonts w:ascii="garamond" w:hAnsi="garamond"/>
        </w:rPr>
        <w:fldChar w:fldCharType="end"/>
      </w:r>
    </w:p>
  </w:footnote>
  <w:footnote w:id="29">
    <w:p w14:paraId="2680A60E" w14:textId="191F396A"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{"citationID":"CgiAY1S2","properties":{"formattedCitation":"Ibid., 54.","plainCitation":"Ibid., 54.","noteIndex":29},"citationItems":[{"id":3592,"uris":["http://zotero.org/users/6119520/items/66KXFRZU"],"itemData":{"id":3592,"type":"book","note":"1980","title":"The Logic of Practice","author":[{"family":"Bourdieu","given":"Pierre"}],"translator":[{"family":"Nice","given":"Richard"}],"issued":{"date-parts":[["1990"]]}},"locator":"54"}],"schema":"https://github.com/citation-style-language/schema/raw/master/csl-citation.json"} </w:instrText>
      </w:r>
      <w:r w:rsidRPr="001311A3">
        <w:rPr>
          <w:rFonts w:ascii="garamond" w:hAnsi="garamond"/>
        </w:rPr>
        <w:fldChar w:fldCharType="separate"/>
      </w:r>
      <w:r w:rsidRPr="001311A3">
        <w:rPr>
          <w:rFonts w:ascii="garamond" w:hAnsi="garamond" w:cs="Calibri"/>
        </w:rPr>
        <w:t>Ibid., 54.</w:t>
      </w:r>
      <w:r w:rsidRPr="001311A3">
        <w:rPr>
          <w:rFonts w:ascii="garamond" w:hAnsi="garamond"/>
        </w:rPr>
        <w:fldChar w:fldCharType="end"/>
      </w:r>
    </w:p>
  </w:footnote>
  <w:footnote w:id="30">
    <w:p w14:paraId="306F3098" w14:textId="518571AB"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{"citationID":"S5GkpCvx","properties":{"formattedCitation":"Ibid.","plainCitation":"Ibid.","noteIndex":30},"citationItems":[{"id":3592,"uris":["http://zotero.org/users/6119520/items/66KXFRZU"],"itemData":{"id":3592,"type":"book","note":"1980","title":"The Logic of Practice","author":[{"family":"Bourdieu","given":"Pierre"}],"translator":[{"family":"Nice","given":"Richard"}],"issued":{"date-parts":[["1990"]]}},"locator":"54"}],"schema":"https://github.com/citation-style-language/schema/raw/master/csl-citation.json"} </w:instrText>
      </w:r>
      <w:r w:rsidRPr="001311A3">
        <w:rPr>
          <w:rFonts w:ascii="garamond" w:hAnsi="garamond"/>
        </w:rPr>
        <w:fldChar w:fldCharType="separate"/>
      </w:r>
      <w:r w:rsidRPr="001311A3">
        <w:rPr>
          <w:rFonts w:ascii="garamond" w:hAnsi="garamond"/>
          <w:noProof/>
        </w:rPr>
        <w:t>Ibid.</w:t>
      </w:r>
      <w:r w:rsidRPr="001311A3">
        <w:rPr>
          <w:rFonts w:ascii="garamond" w:hAnsi="garamond"/>
        </w:rPr>
        <w:fldChar w:fldCharType="end"/>
      </w:r>
    </w:p>
  </w:footnote>
  <w:footnote w:id="31">
    <w:p w14:paraId="34A7F1F7" w14:textId="73274E04" w:rsidR="004B7C6D" w:rsidRPr="001311A3" w:rsidRDefault="004B7C6D" w:rsidP="004B7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{"citationID":"HMZxyGEX","properties":{"formattedCitation":"Ibid., 64.","plainCitation":"Ibid., 64.","noteIndex":31},"citationItems":[{"id":3592,"uris":["http://zotero.org/users/6119520/items/66KXFRZU"],"itemData":{"id":3592,"type":"book","note":"1980","title":"The Logic of Practice","author":[{"family":"Bourdieu","given":"Pierre"}],"translator":[{"family":"Nice","given":"Richard"}],"issued":{"date-parts":[["1990"]]}},"locator":"64"}],"schema":"https://github.com/citation-style-language/schema/raw/master/csl-citation.json"} </w:instrText>
      </w:r>
      <w:r w:rsidRPr="001311A3">
        <w:rPr>
          <w:rFonts w:ascii="garamond" w:hAnsi="garamond"/>
        </w:rPr>
        <w:fldChar w:fldCharType="separate"/>
      </w:r>
      <w:r w:rsidRPr="001311A3">
        <w:rPr>
          <w:rFonts w:ascii="garamond" w:hAnsi="garamond"/>
          <w:noProof/>
        </w:rPr>
        <w:t>Ibid., 64.</w:t>
      </w:r>
      <w:r w:rsidRPr="001311A3">
        <w:rPr>
          <w:rFonts w:ascii="garamond" w:hAnsi="garamond"/>
        </w:rPr>
        <w:fldChar w:fldCharType="end"/>
      </w:r>
    </w:p>
  </w:footnote>
  <w:footnote w:id="32">
    <w:p w14:paraId="6FEAFD0A" w14:textId="703FA5A0" w:rsidR="00AD236F" w:rsidRPr="001311A3" w:rsidRDefault="00AD236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3F4145" w:rsidRPr="001311A3">
        <w:rPr>
          <w:rFonts w:ascii="garamond" w:hAnsi="garamond"/>
        </w:rPr>
        <w:instrText xml:space="preserve"> ADDIN ZOTERO_ITEM CSL_CITATION {"citationID":"EYfaqtB8","properties":{"formattedCitation":"Adom Getachew, {\\i{}Worldmaking after Empire: The Rise and Fall of Self-Determination}, First paperback printing (Princeton Oxford: Princeton University Press, 2020); Ol\\uc0\\u250{}f\\uc0\\u7865{}\\uc0\\u769{}mi O. T\\uc0\\u225{}\\uc0\\u237{}w\\uc0\\u242{}, {\\i{}Reconsidering Reparations: Worldmaking in the Case of Climate Crisis} (Oxford University Press, 2022).","plainCitation":"Adom Getachew, Worldmaking after Empire: The Rise and Fall of Self-Determination, First paperback printing (Princeton Oxford: Princeton University Press, 2020); Olúfẹ́mi O. Táíwò, Reconsidering Reparations: Worldmaking in the Case of Climate Crisis (Oxford University Press, 2022).","noteIndex":31},"citationItems":[{"id":1982,"uris":["http://zotero.org/users/6119520/items/T2U344U9"],"itemData":{"id":1982,"type":"book","abstract":"Decolonization revolutionized the international order during the twentieth century. Yet standard histories that present the end of colonialism as an inevitable transition from a world of empires to one of nations - a world in which self-determination was synonymous with nation-building - obscure just how radical this change was. Drawing on the political thought of anticolonial intellectuals and statesmen such as Nnamdi Azikiwe, W.E.B Du Bois, George Padmore, Kwame Nkrumah, Eric Williams, Michael Manley, and Julius Nyerere, this important new account of decolonization reveals the full extent of their unprecedented ambition to remake not only nations but the world. Adom Getachew shows that African, African American, and Caribbean anticolonial nationalists were not solely or even primarily nation-builders. Responding to the experience of racialized sovereign inequality, dramatized by interwar Ethiopia and Liberia, Black Atlantic thinkers and politicians challenged international racial hierarchy and articulated alternative visions of worldmaking. Seeking to create an egalitarian postimperial world, they attempted to transcend legal, political, and economic hierarchies by securing a right to self-determination within the newly founded United Nations, constituting regional federations in Africa and the Caribbean, and creating the New International Economic Order. Using archival sources from Barbados, Trinidad, Ghana, Switzerland, and the United Kingdom, Worldmaking after Empire recasts the history of decolonization, reconsiders the failure of anticolonial nationalism, and offers a new perspective on debates about today's international order","edition":"First paperback printing","event-place":"Princeton Oxford","ISBN":"978-0-691-20234-1","language":"eng","note":"2019","number-of-pages":"271","publisher":"Princeton University Press","publisher-place":"Princeton Oxford","source":"K10plus ISBN","title":"Worldmaking after Empire: the rise and fall of self-determination","title-short":"Worldmaking after Empire","author":[{"family":"Getachew","given":"Adom"}],"issued":{"date-parts":[["2020"]]}}},{"id":11618,"uris":["http://zotero.org/users/6119520/items/PLA4MSNT"],"itemData":{"id":11618,"type":"book","publisher":"Oxford University Press","title":"Reconsidering Reparations: worldmaking in the case of climate crisis","author":[{"family":"Táíwò","given":"Olúfẹ́mi O."}],"issued":{"date-parts":[["2022"]]}}}],"schema":"https://github.com/citation-style-language/schema/raw/master/csl-citation.json"} </w:instrText>
      </w:r>
      <w:r w:rsidRPr="001311A3">
        <w:rPr>
          <w:rFonts w:ascii="garamond" w:hAnsi="garamond"/>
        </w:rPr>
        <w:fldChar w:fldCharType="separate"/>
      </w:r>
      <w:r w:rsidR="003F4145" w:rsidRPr="001311A3">
        <w:rPr>
          <w:rFonts w:ascii="garamond" w:hAnsi="garamond" w:cs="Calibri"/>
        </w:rPr>
        <w:t xml:space="preserve">Adom Getachew, </w:t>
      </w:r>
      <w:r w:rsidR="003F4145" w:rsidRPr="001311A3">
        <w:rPr>
          <w:rFonts w:ascii="garamond" w:hAnsi="garamond" w:cs="Calibri"/>
          <w:i/>
          <w:iCs/>
        </w:rPr>
        <w:t>Worldmaking after Empire: The Rise and Fall of Self-Determination</w:t>
      </w:r>
      <w:r w:rsidR="003F4145" w:rsidRPr="001311A3">
        <w:rPr>
          <w:rFonts w:ascii="garamond" w:hAnsi="garamond" w:cs="Calibri"/>
        </w:rPr>
        <w:t xml:space="preserve">, </w:t>
      </w:r>
      <w:r w:rsidR="000E7793" w:rsidRPr="001311A3">
        <w:rPr>
          <w:rFonts w:ascii="garamond" w:hAnsi="garamond" w:cs="Calibri"/>
        </w:rPr>
        <w:t>first</w:t>
      </w:r>
      <w:r w:rsidR="003F4145" w:rsidRPr="001311A3">
        <w:rPr>
          <w:rFonts w:ascii="garamond" w:hAnsi="garamond" w:cs="Calibri"/>
        </w:rPr>
        <w:t xml:space="preserve"> paperback printing (Princeton Oxford: Princeton University Press, 2020); Olúfẹ́mi O. Táíwò, </w:t>
      </w:r>
      <w:r w:rsidR="003F4145" w:rsidRPr="001311A3">
        <w:rPr>
          <w:rFonts w:ascii="garamond" w:hAnsi="garamond" w:cs="Calibri"/>
          <w:i/>
          <w:iCs/>
        </w:rPr>
        <w:t>Reconsidering Reparations: Worldmaking in the Case of Climate Crisis</w:t>
      </w:r>
      <w:r w:rsidR="003F4145" w:rsidRPr="001311A3">
        <w:rPr>
          <w:rFonts w:ascii="garamond" w:hAnsi="garamond" w:cs="Calibri"/>
        </w:rPr>
        <w:t xml:space="preserve"> (Oxford University Press, 2022).</w:t>
      </w:r>
      <w:r w:rsidRPr="001311A3">
        <w:rPr>
          <w:rFonts w:ascii="garamond" w:hAnsi="garamond"/>
        </w:rPr>
        <w:fldChar w:fldCharType="end"/>
      </w:r>
    </w:p>
  </w:footnote>
  <w:footnote w:id="33">
    <w:p w14:paraId="432E996B" w14:textId="2A5A66D6" w:rsidR="00BB0C6D" w:rsidRPr="001311A3" w:rsidRDefault="00BB0C6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{"citationID":"tQdhrW9r","properties":{"formattedCitation":"Amia Srinivasan, \\uc0\\u8220{}VII \\uc0\\u8212{} Genealogy, Epistemology and Worldmaking,\\uc0\\u8221{} {\\i{}Proceedings of the Aristotelian Society} 119, no. 2 (July 1, 2019): 145, https://doi.org/10.1093/arisoc/aoz009.","plainCitation":"Amia Srinivasan, “VII — Genealogy, Epistemology and Worldmaking,” Proceedings of the Aristotelian Society 119, no. 2 (July 1, 2019): 145, https://doi.org/10.1093/arisoc/aoz009.","noteIndex":33},"citationItems":[{"id":854,"uris":["http://zotero.org/users/6119520/items/7ZT9J458"],"itemData":{"id":854,"type":"article-journal","abstract":"Abstract\n            We suffer from genealogical anxiety when we worry that the contingent origins of our representations, once revealed, will somehow undermine or cast doubt on those representations. Is such anxiety ever rational? Many have apparently thought so, from pre-Socratic critics of Greek theology to contemporary evolutionary debunkers of morality. One strategy for vindicating critical genealogies is to see them as undermining the epistemic standing of our representations—the justification of our beliefs, the aptness of our concepts, and so on. I argue that this strategy is not as promising as it might first seem. Instead, I suggest that critical genealogies can wield a sort of meta-epistemic power; in so far as we wish to resist the genealogical critic, we are under pressure to see ourselves as the beneficiaries of a certain kind of good luck: what I call genealogical luck. But there is also a resolutely non-epistemic way of understanding the power of critical genealogies, one that is essential, I argue, for understanding the genealogical projects of various theorists, including Nietzsche and Catharine MacKinnon. For critical genealogies can reveal what it is that our representations do—and what we, in turn, might do with them.","container-title":"Proceedings of the Aristotelian Society","DOI":"10.1093/arisoc/aoz009","ISSN":"0066-7374, 1467-9264","issue":"2","language":"en","page":"127-156","source":"DOI.org (Crossref)","title":"VII — Genealogy, Epistemology and Worldmaking","volume":"119","author":[{"family":"Srinivasan","given":"Amia"}],"issued":{"date-parts":[["2019",7,1]]}},"locator":"145"}],"schema":"https://github.com/citation-style-language/schema/raw/master/csl-citation.json"}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Amia Srinivasan, “VII — Genealogy, Epistemology and Worldmaking,” </w:t>
      </w:r>
      <w:r w:rsidRPr="001311A3">
        <w:rPr>
          <w:rFonts w:ascii="garamond" w:hAnsi="garamond" w:cs="Calibri"/>
          <w:i/>
          <w:iCs/>
        </w:rPr>
        <w:t>Proceedings of the Aristotelian Society</w:t>
      </w:r>
      <w:r w:rsidRPr="001311A3">
        <w:rPr>
          <w:rFonts w:ascii="garamond" w:hAnsi="garamond" w:cs="Calibri"/>
        </w:rPr>
        <w:t xml:space="preserve"> 119, no. 2 (July 1, 2019): 145, https://doi.org/10.1093/arisoc/aoz009.</w:t>
      </w:r>
      <w:r w:rsidRPr="001311A3">
        <w:rPr>
          <w:rFonts w:ascii="garamond" w:hAnsi="garamond"/>
        </w:rPr>
        <w:fldChar w:fldCharType="end"/>
      </w:r>
    </w:p>
  </w:footnote>
  <w:footnote w:id="34">
    <w:p w14:paraId="678D43A3" w14:textId="76E064F0" w:rsidR="003A0CD7" w:rsidRPr="001311A3" w:rsidRDefault="003A0CD7">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{"citationID":"Bbh1Fq8d","properties":{"formattedCitation":"Ibid.","plainCitation":"Ibid.","noteIndex":34},"citationItems":[{"id":854,"uris":["http://zotero.org/users/6119520/items/7ZT9J458"],"itemData":{"id":854,"type":"article-journal","abstract":"Abstract\n            We suffer from genealogical anxiety when we worry that the contingent origins of our representations, once revealed, will somehow undermine or cast doubt on those representations. Is such anxiety ever rational? Many have apparently thought so, from pre-Socratic critics of Greek theology to contemporary evolutionary debunkers of morality. One strategy for vindicating critical genealogies is to see them as undermining the epistemic standing of our representations—the justification of our beliefs, the aptness of our concepts, and so on. I argue that this strategy is not as promising as it might first seem. Instead, I suggest that critical genealogies can wield a sort of meta-epistemic power; in so far as we wish to resist the genealogical critic, we are under pressure to see ourselves as the beneficiaries of a certain kind of good luck: what I call genealogical luck. But there is also a resolutely non-epistemic way of understanding the power of critical genealogies, one that is essential, I argue, for understanding the genealogical projects of various theorists, including Nietzsche and Catharine MacKinnon. For critical genealogies can reveal what it is that our representations do—and what we, in turn, might do with them.","container-title":"Proceedings of the Aristotelian Society","DOI":"10.1093/arisoc/aoz009","ISSN":"0066-7374, 1467-9264","issue":"2","language":"en","page":"127-156","source":"DOI.org (Crossref)","title":"VII — Genealogy, Epistemology and Worldmaking","volume":"119","author":[{"family":"Srinivasan","given":"Amia"}],"issued":{"date-parts":[["2019",7,1]]}},"locator":"145"}],"schema":"https://github.com/citation-style-language/schema/raw/master/csl-citation.json"} </w:instrText>
      </w:r>
      <w:r w:rsidRPr="001311A3">
        <w:rPr>
          <w:rFonts w:ascii="garamond" w:hAnsi="garamond"/>
        </w:rPr>
        <w:fldChar w:fldCharType="separate"/>
      </w:r>
      <w:r w:rsidRPr="001311A3">
        <w:rPr>
          <w:rFonts w:ascii="garamond" w:hAnsi="garamond"/>
          <w:noProof/>
        </w:rPr>
        <w:t>Ibid.</w:t>
      </w:r>
      <w:r w:rsidRPr="001311A3">
        <w:rPr>
          <w:rFonts w:ascii="garamond" w:hAnsi="garamond"/>
        </w:rPr>
        <w:fldChar w:fldCharType="end"/>
      </w:r>
    </w:p>
  </w:footnote>
  <w:footnote w:id="35">
    <w:p w14:paraId="78A09FCF" w14:textId="7CB7FB47" w:rsidR="00841439" w:rsidRPr="001311A3" w:rsidRDefault="00841439" w:rsidP="00841439">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2503C" w:rsidRPr="001311A3">
        <w:rPr>
          <w:rFonts w:ascii="garamond" w:hAnsi="garamond"/>
        </w:rPr>
        <w:instrText xml:space="preserve"> ADDIN ZOTERO_ITEM CSL_CITATION {"citationID":"2ykq4NSD","properties":{"formattedCitation":"Deva R. Woodly, {\\i{}The Politics of Common Sense: How Social Movements Use Public Discourse to Change Politics and Win Acceptance} (New York, NY: Oxford University Press, 2015), 8.","plainCitation":"Deva R. Woodly, The Politics of Common Sense: How Social Movements Use Public Discourse to Change Politics and Win Acceptance (New York, NY: Oxford University Press, 2015), 8.","noteIndex":35},"citationItems":[{"id":1930,"uris":["http://zotero.org/users/6119520/items/RFGPCTRZ"],"itemData":{"id":1930,"type":"book","call-number":"JA85.2.U6 W65 2015","event-place":"New York, NY","ISBN":"978-0-19-020398-6","language":"en","number-of-pages":"258","publisher":"Oxford University Press","publisher-place":"New York, NY","source":"Library of Congress ISBN","title":"The politics of common sense: how social movements use public discourse to change politics and win acceptance","title-short":"The politics of common sense","author":[{"family":"Woodly","given":"Deva R."}],"issued":{"date-parts":[["2015"]]}},"locator":"8"}],"schema":"https://github.com/citation-style-language/schema/raw/master/csl-citation.json"} </w:instrText>
      </w:r>
      <w:r w:rsidRPr="001311A3">
        <w:rPr>
          <w:rFonts w:ascii="garamond" w:hAnsi="garamond"/>
        </w:rPr>
        <w:fldChar w:fldCharType="separate"/>
      </w:r>
      <w:r w:rsidR="00BB0C6D" w:rsidRPr="001311A3">
        <w:rPr>
          <w:rFonts w:ascii="garamond" w:hAnsi="garamond" w:cs="Times New Roman"/>
        </w:rPr>
        <w:t xml:space="preserve">Deva R. Woodly, </w:t>
      </w:r>
      <w:r w:rsidR="00BB0C6D" w:rsidRPr="001311A3">
        <w:rPr>
          <w:rFonts w:ascii="garamond" w:hAnsi="garamond" w:cs="Times New Roman"/>
          <w:i/>
          <w:iCs/>
        </w:rPr>
        <w:t>The Politics of Common Sense: How Social Movements Use Public Discourse to Change Politics and Win Acceptance</w:t>
      </w:r>
      <w:r w:rsidR="00BB0C6D" w:rsidRPr="001311A3">
        <w:rPr>
          <w:rFonts w:ascii="garamond" w:hAnsi="garamond" w:cs="Times New Roman"/>
        </w:rPr>
        <w:t xml:space="preserve"> (New York, NY: Oxford University Press, 2015), 8.</w:t>
      </w:r>
      <w:r w:rsidRPr="001311A3">
        <w:rPr>
          <w:rFonts w:ascii="garamond" w:hAnsi="garamond"/>
        </w:rPr>
        <w:fldChar w:fldCharType="end"/>
      </w:r>
    </w:p>
  </w:footnote>
  <w:footnote w:id="36">
    <w:p w14:paraId="5F0BDEE5" w14:textId="30D5FC9A" w:rsidR="00E2503C" w:rsidRPr="001311A3" w:rsidRDefault="00E2503C">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This is particularly apparent in her work on the gay rights movement. </w:t>
      </w:r>
      <w:r w:rsidRPr="001311A3">
        <w:rPr>
          <w:rFonts w:ascii="garamond" w:hAnsi="garamond"/>
        </w:rPr>
        <w:fldChar w:fldCharType="begin"/>
      </w:r>
      <w:r w:rsidRPr="001311A3">
        <w:rPr>
          <w:rFonts w:ascii="garamond" w:hAnsi="garamond"/>
        </w:rPr>
        <w:instrText xml:space="preserve"> ADDIN ZOTERO_ITEM CSL_CITATION {"citationID":"EGgUiomv","properties":{"formattedCitation":"Woodly, {\\i{}The Politics of Common Sense}.","plainCitation":"Woodly, The Politics of Common Sense.","noteIndex":36},"citationItems":[{"id":1930,"uris":["http://zotero.org/users/6119520/items/RFGPCTRZ"],"itemData":{"id":1930,"type":"book","call-number":"JA85.2.U6 W65 2015","event-place":"New York, NY","ISBN":"978-0-19-020398-6","language":"en","number-of-pages":"258","publisher":"Oxford University Press","publisher-place":"New York, NY","source":"Library of Congress ISBN","title":"The politics of common sense: how social movements use public discourse to change politics and win acceptance","title-short":"The politics of common sense","author":[{"family":"Woodly","given":"Deva R."}],"issued":{"date-parts":[["2015"]]}}}],"schema":"https://github.com/citation-style-language/schema/raw/master/csl-citation.json"}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Woodly, </w:t>
      </w:r>
      <w:r w:rsidRPr="001311A3">
        <w:rPr>
          <w:rFonts w:ascii="garamond" w:hAnsi="garamond" w:cs="Calibri"/>
          <w:i/>
          <w:iCs/>
        </w:rPr>
        <w:t>The Politics of Common Sense</w:t>
      </w:r>
      <w:r w:rsidRPr="001311A3">
        <w:rPr>
          <w:rFonts w:ascii="garamond" w:hAnsi="garamond" w:cs="Calibri"/>
        </w:rPr>
        <w:t>.</w:t>
      </w:r>
      <w:r w:rsidRPr="001311A3">
        <w:rPr>
          <w:rFonts w:ascii="garamond" w:hAnsi="garamond"/>
        </w:rPr>
        <w:fldChar w:fldCharType="end"/>
      </w:r>
    </w:p>
  </w:footnote>
  <w:footnote w:id="37">
    <w:p w14:paraId="109BAF0D" w14:textId="77777777" w:rsidR="00840E3F" w:rsidRPr="001311A3" w:rsidRDefault="00840E3F" w:rsidP="00840E3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{"citationID":"hvxSdNJX","properties":{"formattedCitation":"Clarissa Rile Hayward, \\uc0\\u8220{}Disruption: What Is It Good For?,\\uc0\\u8221{} {\\i{}The Journal of Politics} 82, no. 2 (April 2020): 448\\uc0\\u8211{}59, https://doi.org/10.1086/706766; Clarissa Rile Hayward, \\uc0\\u8220{}Responsibility and Ignorance: On Dismantling Structural Injustice,\\uc0\\u8221{} {\\i{}The Journal of Politics} 79, no. 2 (April 2017): 396\\uc0\\u8211{}408, https://doi.org/10.1086/688355.","plainCitation":"Clarissa Rile Hayward, “Disruption: What Is It Good For?,” The Journal of Politics 82, no. 2 (April 2020): 448–59, https://doi.org/10.1086/706766; Clarissa Rile Hayward, “Responsibility and Ignorance: On Dismantling Structural Injustice,” The Journal of Politics 79, no. 2 (April 2017): 396–408, https://doi.org/10.1086/688355.","noteIndex":69},"citationItems":[{"id":2899,"uris":["http://zotero.org/users/6119520/items/9BNYKSP2"],"itemData":{"id":2899,"type":"article-journal","abstract":"This article challenges a common understanding of the role that political disruption plays in promoting large-scale change. It argues that the most basic political work disruption performs is not to win public sympathy but instead to interrupt privileged people’s motivated ignorance. Drawing on examples from the Civil Rights and Black Lives Matter Movements, it makes the case that successful political disruption involves three steps. First, a group of political actors coordinate to withdraw cooperation from an epistemic power relationship, which enables motivated ignorance. Second, this act of epistemic disruption brings latent conflicts to the surface and forces members of dominant groups to take sides. Third, the resulting change in the political agenda enables subordinated actors to negotiate with the politically powerful. The article explains why disruption can be politically effective, even when it fails to win widespread public sympathy.","container-title":"The Journal of Politics","DOI":"10.1086/706766","ISSN":"0022-3816, 1468-2508","issue":"2","journalAbbreviation":"The Journal of Politics","language":"en","page":"448-459","source":"DOI.org (Crossref)","title":"Disruption: What Is It Good For?","title-short":"Disruption","volume":"82","author":[{"family":"Hayward","given":"Clarissa Rile"}],"issued":{"date-parts":[["2020",4]]}}},{"id":2908,"uris":["http://zotero.org/users/6119520/items/HXGMXM73"],"itemData":{"id":2908,"type":"article-journal","container-title":"The Journal of Politics","DOI":"10.1086/688355","ISSN":"0022-3816, 1468-2508","issue":"2","journalAbbreviation":"The Journal of Politics","language":"en","page":"396-408","source":"DOI.org (Crossref)","title":"Responsibility and Ignorance: On Dismantling Structural Injustice","title-short":"Responsibility and Ignorance","volume":"79","author":[{"family":"Hayward","given":"Clarissa Rile"}],"issued":{"date-parts":[["2017",4]]}}}],"schema":"https://github.com/citation-style-language/schema/raw/master/csl-citation.json"}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Clarissa Rile Hayward, “Disruption: What Is It Good For?,” </w:t>
      </w:r>
      <w:r w:rsidRPr="001311A3">
        <w:rPr>
          <w:rFonts w:ascii="garamond" w:hAnsi="garamond" w:cs="Times New Roman"/>
          <w:i/>
          <w:iCs/>
        </w:rPr>
        <w:t>The Journal of Politics</w:t>
      </w:r>
      <w:r w:rsidRPr="001311A3">
        <w:rPr>
          <w:rFonts w:ascii="garamond" w:hAnsi="garamond" w:cs="Times New Roman"/>
        </w:rPr>
        <w:t xml:space="preserve"> 82, no. 2 (April 2020): 448–59, https://doi.org/10.1086/706766; Clarissa Rile Hayward, “Responsibility and Ignorance: On Dismantling Structural Injustice,” </w:t>
      </w:r>
      <w:r w:rsidRPr="001311A3">
        <w:rPr>
          <w:rFonts w:ascii="garamond" w:hAnsi="garamond" w:cs="Times New Roman"/>
          <w:i/>
          <w:iCs/>
        </w:rPr>
        <w:t>The Journal of Politics</w:t>
      </w:r>
      <w:r w:rsidRPr="001311A3">
        <w:rPr>
          <w:rFonts w:ascii="garamond" w:hAnsi="garamond" w:cs="Times New Roman"/>
        </w:rPr>
        <w:t xml:space="preserve"> 79, no. 2 (April 2017): 396–408, https://doi.org/10.1086/688355.</w:t>
      </w:r>
      <w:r w:rsidRPr="001311A3">
        <w:rPr>
          <w:rFonts w:ascii="garamond" w:hAnsi="garamond"/>
        </w:rPr>
        <w:fldChar w:fldCharType="end"/>
      </w:r>
    </w:p>
  </w:footnote>
  <w:footnote w:id="38">
    <w:p w14:paraId="3F972DBC" w14:textId="77777777" w:rsidR="00840E3F" w:rsidRPr="001311A3" w:rsidRDefault="00840E3F" w:rsidP="00840E3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Reny and Newman warn however that we need to be attentive to how other entrenched narratives (such as racial prejudice) can make some people be resistant to protest reframing. Their work builds on a long literature about protest as a source of reframing, of which McAdams is an important contributor. </w:t>
      </w:r>
      <w:r w:rsidRPr="001311A3">
        <w:rPr>
          <w:rFonts w:ascii="garamond" w:hAnsi="garamond"/>
        </w:rPr>
        <w:fldChar w:fldCharType="begin"/>
      </w:r>
      <w:r w:rsidRPr="001311A3">
        <w:rPr>
          <w:rFonts w:ascii="garamond" w:hAnsi="garamond"/>
        </w:rPr>
        <w:instrText xml:space="preserve"> ADDIN ZOTERO_ITEM CSL_CITATION {"citationID":"nBYZGGNP","properties":{"formattedCitation":"Tyler T. Reny and Benjamin J. Newman, \\uc0\\u8220{}The Opinion-Mobilizing Effect of Social Protest against Police Violence: Evidence from the 2020 George Floyd Protests,\\uc0\\u8221{} {\\i{}American Political Science Review} 115, no. 4 (November 2021): 1499\\uc0\\u8211{}1507, https://doi.org/10.1017/S0003055421000460; Doug McAdam, \\uc0\\u8220{}The Framing Function of Movement Tactics: Strategic Dramaturgy in the American Civil Rights Movement,\\uc0\\u8221{} in {\\i{}Comparative Perspectives on Social Movements}, ed. Doug McAdam, John D. McCarthy, and Mayer N. Zald, 1st ed. (Cambridge University Press, 1996), 338\\uc0\\u8211{}56, https://doi.org/10.1017/CBO9780511803987.017.","plainCitation":"Tyler T. Reny and Benjamin J. Newman, “The Opinion-Mobilizing Effect of Social Protest against Police Violence: Evidence from the 2020 George Floyd Protests,” American Political Science Review 115, no. 4 (November 2021): 1499–1507, https://doi.org/10.1017/S0003055421000460; Doug McAdam, “The Framing Function of Movement Tactics: Strategic Dramaturgy in the American Civil Rights Movement,” in Comparative Perspectives on Social Movements, ed. Doug McAdam, John D. McCarthy, and Mayer N. Zald, 1st ed. (Cambridge University Press, 1996), 338–56, https://doi.org/10.1017/CBO9780511803987.017.","noteIndex":70},"citationItems":[{"id":4514,"uris":["http://zotero.org/users/6119520/items/HGNQRLWP"],"itemData":{"id":4514,"type":"article-journal","abstract":"Does social protest following the police killing of unarmed Black civilians have a widespread “opinion-mobilizing” effect against the police? Or, does the racialized nature of these events polarize mass opinion based on standing racial and political orientations? To answer these questions, we use a large dataset comprised of weekly cross sections of the American public and employ a regression discontinuity in time (RDiT) approach leveraging the random timing of the police killing of George Floyd and ensuing nationwide protests. We find that the Floyd protests swiftly decreased favorability toward the police and increased perceived anti-Black discrimination among low-prejudice and politically liberal Americans. However, attitudes among high-prejudice and politically conservative Americans either remained unchanged or evinced only small and ephemeral shifts. Our evidence suggests that the Floyd protests served to further racialize and politicize attitudes within the domain of race and law enforcement in the U.S.","container-title":"American Political Science Review","DOI":"10.1017/S0003055421000460","ISSN":"0003-0554, 1537-5943","issue":"4","journalAbbreviation":"Am Polit Sci Rev","language":"en","page":"1499-1507","source":"DOI.org (Crossref)","title":"The Opinion-Mobilizing Effect of Social Protest against Police Violence: Evidence from the 2020 George Floyd Protests","title-short":"The Opinion-Mobilizing Effect of Social Protest against Police Violence","volume":"115","author":[{"family":"Reny","given":"Tyler T."},{"family":"Newman","given":"Benjamin J."}],"issued":{"date-parts":[["2021",11]]}}},{"id":10811,"uris":["http://zotero.org/users/6119520/items/Q6FZQL95"],"itemData":{"id":10811,"type":"chapter","container-title":"Comparative Perspectives on Social Movements","edition":"1","ISBN":"978-0-521-48039-0","language":"en","note":"DOI: 10.1017/CBO9780511803987.017","page":"338-356","publisher":"Cambridge University Press","source":"DOI.org (Crossref)","title":"The framing function of movement tactics: Strategic dramaturgy in the American civil rights movement","title-short":"The framing function of movement tactics","URL":"https://www.cambridge.org/core/product/identifier/CBO9780511803987A027/type/book_part","editor":[{"family":"McAdam","given":"Doug"},{"family":"McCarthy","given":"John D."},{"family":"Zald","given":"Mayer N."}],"author":[{"family":"McAdam","given":"Doug"}],"accessed":{"date-parts":[["2024",3,27]]},"issued":{"date-parts":[["1996",1,26]]}}}],"schema":"https://github.com/citation-style-language/schema/raw/master/csl-citation.json"}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Tyler T. Reny and Benjamin J. Newman, “The Opinion-Mobilizing Effect of Social Protest against Police Violence: Evidence from the 2020 George Floyd Protests,” </w:t>
      </w:r>
      <w:r w:rsidRPr="001311A3">
        <w:rPr>
          <w:rFonts w:ascii="garamond" w:hAnsi="garamond" w:cs="Times New Roman"/>
          <w:i/>
          <w:iCs/>
        </w:rPr>
        <w:t>American Political Science Review</w:t>
      </w:r>
      <w:r w:rsidRPr="001311A3">
        <w:rPr>
          <w:rFonts w:ascii="garamond" w:hAnsi="garamond" w:cs="Times New Roman"/>
        </w:rPr>
        <w:t xml:space="preserve"> 115, no. 4 (November 2021): 1499–1507, https://doi.org/10.1017/S0003055421000460; Doug McAdam, “The Framing Function of Movement Tactics: Strategic Dramaturgy in the American Civil Rights Movement,” in </w:t>
      </w:r>
      <w:r w:rsidRPr="001311A3">
        <w:rPr>
          <w:rFonts w:ascii="garamond" w:hAnsi="garamond" w:cs="Times New Roman"/>
          <w:i/>
          <w:iCs/>
        </w:rPr>
        <w:t>Comparative Perspectives on Social Movements</w:t>
      </w:r>
      <w:r w:rsidRPr="001311A3">
        <w:rPr>
          <w:rFonts w:ascii="garamond" w:hAnsi="garamond" w:cs="Times New Roman"/>
        </w:rPr>
        <w:t>, ed. Doug McAdam, John D. McCarthy, and Mayer N. Zald, 1st ed. (Cambridge University Press, 1996), 338–56, https://doi.org/10.1017/CBO9780511803987.017.</w:t>
      </w:r>
      <w:r w:rsidRPr="001311A3">
        <w:rPr>
          <w:rFonts w:ascii="garamond" w:hAnsi="garamond"/>
        </w:rPr>
        <w:fldChar w:fldCharType="end"/>
      </w:r>
    </w:p>
  </w:footnote>
  <w:footnote w:id="39">
    <w:p w14:paraId="25C25EFD" w14:textId="77777777" w:rsidR="00840E3F" w:rsidRPr="001311A3" w:rsidRDefault="00840E3F" w:rsidP="00840E3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{"citationID":"eRGkxPoZ","properties":{"formattedCitation":"Deva Woodly, \\uc0\\u8220{}The Importance of Public Meaning for Political Persuasion,\\uc0\\u8221{} {\\i{}Perspectives on Politics} 16, no. 1 (March 2018): 22\\uc0\\u8211{}35, https://doi.org/10.1017/S1537592717003127.","plainCitation":"Deva Woodly, “The Importance of Public Meaning for Political Persuasion,” Perspectives on Politics 16, no. 1 (March 2018): 22–35, https://doi.org/10.1017/S1537592717003127.","noteIndex":71},"citationItems":[{"id":1929,"uris":["http://zotero.org/users/6119520/items/C2I5IAUX"],"itemData":{"id":1929,"type":"article-journal","abstract":"There have been many retrospective analyses written about the marriage-equality movement since the Supreme Court’s 2015 ruling that made marriages between people of the same sex legal in all 50 states. Most attribute that triumph to a stunningly swift turnaround in public comfort with and approval of same-sex relationships. However, public opinion data indicates that this narrative is inaccurate. In 2015, 51% of General Social Survey respondents declared that they found sexual relationships between people of the same sex to be “wrong” at least “some of the time.” Nevertheless, at the same time, 56% of respondents affirmed that people of the same sex ought to have the legal right to marry. This dissonance suggests that the most common narrative about the success of the movement misses something crucial about how political persuasion happened in this case, as well as the way that political persuasion happens in general. In this article, I show that the massive shift in support for same-sex marriage was likely not the result of large majorities changing their underlying attitudes regarding gay sexual relationships, but was instead the result of activists inserting new criteria for evaluating same-sex marriage into popular political discourse by consistently using resonant arguments. These arguments reframed the political stakes, changed the public meaning of the marriage debate, and altered the decisional context in which people determine their policy preferences.","container-title":"Perspectives on Politics","DOI":"10.1017/S1537592717003127","ISSN":"1537-5927, 1541-0986","issue":"1","journalAbbreviation":"Perspect. polit.","language":"en","page":"22-35","source":"DOI.org (Crossref)","title":"The Importance of Public Meaning for Political Persuasion","volume":"16","author":[{"family":"Woodly","given":"Deva"}],"issued":{"date-parts":[["2018",3]]}}}],"schema":"https://github.com/citation-style-language/schema/raw/master/csl-citation.json"}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Deva Woodly, “The Importance of Public Meaning for Political Persuasion,” </w:t>
      </w:r>
      <w:r w:rsidRPr="001311A3">
        <w:rPr>
          <w:rFonts w:ascii="garamond" w:hAnsi="garamond" w:cs="Times New Roman"/>
          <w:i/>
          <w:iCs/>
        </w:rPr>
        <w:t>Perspectives on Politics</w:t>
      </w:r>
      <w:r w:rsidRPr="001311A3">
        <w:rPr>
          <w:rFonts w:ascii="garamond" w:hAnsi="garamond" w:cs="Times New Roman"/>
        </w:rPr>
        <w:t xml:space="preserve"> 16, no. 1 (March 2018): 22–35, https://doi.org/10.1017/S1537592717003127.</w:t>
      </w:r>
      <w:r w:rsidRPr="001311A3">
        <w:rPr>
          <w:rFonts w:ascii="garamond" w:hAnsi="garamond"/>
        </w:rPr>
        <w:fldChar w:fldCharType="end"/>
      </w:r>
    </w:p>
  </w:footnote>
  <w:footnote w:id="40">
    <w:p w14:paraId="500F56AA" w14:textId="770D69AA" w:rsidR="00AE4717" w:rsidRPr="001311A3" w:rsidRDefault="00AE4717" w:rsidP="00AE4717">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This in fact is indicated by Hayward’s other work on racial identity and housing segregation. </w:t>
      </w:r>
      <w:r w:rsidRPr="001311A3">
        <w:rPr>
          <w:rFonts w:ascii="garamond" w:hAnsi="garamond"/>
        </w:rPr>
        <w:fldChar w:fldCharType="begin"/>
      </w:r>
      <w:r w:rsidR="001311A3">
        <w:rPr>
          <w:rFonts w:ascii="garamond" w:hAnsi="garamond"/>
        </w:rPr>
        <w:instrText xml:space="preserve"> ADDIN ZOTERO_ITEM CSL_CITATION {"citationID":"IlKGYVxL","properties":{"formattedCitation":"Clarissa Rile Hayward, {\\i{}How Americans Make Race: Stories, Institutions, Spaces} (New York: Cambridge University Press, 2013).","plainCitation":"Clarissa Rile Hayward, How Americans Make Race: Stories, Institutions, Spaces (New York: Cambridge University Press, 2013).","noteIndex":40},"citationItems":[{"id":1607,"uris":["http://zotero.org/users/6119520/items/TJ5KZUPL"],"itemData":{"id":1607,"type":"book","event-place":"New York","note":"2013","publisher":"Cambridge University Press","publisher-place":"New York","title":"How Americans Make Race: Stories, Institutions, Spaces","author":[{"family":"Hayward","given":"Clarissa Rile"}],"issued":{"date-parts":[["2013"]]}}}],"schema":"https://github.com/citation-style-language/schema/raw/master/csl-citation.json"}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Clarissa Rile Hayward, </w:t>
      </w:r>
      <w:r w:rsidRPr="001311A3">
        <w:rPr>
          <w:rFonts w:ascii="garamond" w:hAnsi="garamond" w:cs="Times New Roman"/>
          <w:i/>
          <w:iCs/>
        </w:rPr>
        <w:t>How Americans Make Race: Stories, Institutions, Spaces</w:t>
      </w:r>
      <w:r w:rsidRPr="001311A3">
        <w:rPr>
          <w:rFonts w:ascii="garamond" w:hAnsi="garamond" w:cs="Times New Roman"/>
        </w:rPr>
        <w:t xml:space="preserve"> (New York: Cambridge University Press, 2013).</w:t>
      </w:r>
      <w:r w:rsidRPr="001311A3">
        <w:rPr>
          <w:rFonts w:ascii="garamond" w:hAnsi="garamond"/>
        </w:rPr>
        <w:fldChar w:fldCharType="end"/>
      </w:r>
    </w:p>
  </w:footnote>
  <w:footnote w:id="41">
    <w:p w14:paraId="29BD60B7" w14:textId="77777777" w:rsidR="00C46FBA" w:rsidRPr="001311A3" w:rsidRDefault="00C46FBA" w:rsidP="00C46FBA">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I borrow the term ‘make-believe’ used in reference to space which shifts political imaginaries from Navaro-Yashin. </w:t>
      </w:r>
      <w:r w:rsidRPr="001311A3">
        <w:rPr>
          <w:rFonts w:ascii="garamond" w:hAnsi="garamond"/>
        </w:rPr>
        <w:fldChar w:fldCharType="begin"/>
      </w:r>
      <w:r w:rsidRPr="001311A3">
        <w:rPr>
          <w:rFonts w:ascii="garamond" w:hAnsi="garamond"/>
        </w:rPr>
        <w:instrText xml:space="preserve"> ADDIN ZOTERO_ITEM CSL_CITATION {"citationID":"N7KFgs4y","properties":{"formattedCitation":"Yael Navaro-Yashin, \\uc0\\u8220{}Introduction: The Make-Believe Space,\\uc0\\u8221{} in {\\i{}The Make-Believe Space: Affective Geography in a Postwar Polity} (Duke University Press, 2012), 5.","plainCitation":"Yael Navaro-Yashin, “Introduction: The Make-Believe Space,” in The Make-Believe Space: Affective Geography in a Postwar Polity (Duke University Press, 2012), 5.","noteIndex":40},"citationItems":[{"id":10882,"uris":["http://zotero.org/users/6119520/items/BTKND3P8"],"itemData":{"id":10882,"type":"chapter","container-title":"The Make-Believe Space: Affective Geography in a Postwar Polity","publisher":"Duke University Press","title":"Introduction: The Make-Believe Space","author":[{"family":"Navaro-Yashin","given":"Yael"}],"issued":{"date-parts":[["2012"]]}},"locator":"5"}],"schema":"https://github.com/citation-style-language/schema/raw/master/csl-citation.json"}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Yael Navaro-Yashin, “Introduction: The Make-Believe Space,” in </w:t>
      </w:r>
      <w:r w:rsidRPr="001311A3">
        <w:rPr>
          <w:rFonts w:ascii="garamond" w:hAnsi="garamond" w:cs="Calibri"/>
          <w:i/>
          <w:iCs/>
        </w:rPr>
        <w:t>The Make-Believe Space: Affective Geography in a Postwar Polity</w:t>
      </w:r>
      <w:r w:rsidRPr="001311A3">
        <w:rPr>
          <w:rFonts w:ascii="garamond" w:hAnsi="garamond" w:cs="Calibri"/>
        </w:rPr>
        <w:t xml:space="preserve"> (Duke University Press, 2012), 5.</w:t>
      </w:r>
      <w:r w:rsidRPr="001311A3">
        <w:rPr>
          <w:rFonts w:ascii="garamond" w:hAnsi="garamond"/>
        </w:rPr>
        <w:fldChar w:fldCharType="end"/>
      </w:r>
    </w:p>
  </w:footnote>
  <w:footnote w:id="42">
    <w:p w14:paraId="4068703D" w14:textId="77777777" w:rsidR="00C46FBA" w:rsidRPr="001311A3" w:rsidRDefault="00C46FBA" w:rsidP="00C46FBA">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{"citationID":"rU8TW5RE","properties":{"formattedCitation":"Mark Fisher, {\\i{}Capitalist Realism: Is There No Alternative?} (Zero Books, 2009), 17.","plainCitation":"Mark Fisher, Capitalist Realism: Is There No Alternative? (Zero Books, 2009), 17.","noteIndex":33},"citationItems":[{"id":4972,"uris":["http://zotero.org/users/6119520/items/VJTM2BUI"],"itemData":{"id":4972,"type":"book","publisher":"Zero Books","title":"Capitalist Realism: Is there no alternative?","author":[{"family":"Fisher","given":"Mark"}],"issued":{"date-parts":[["2009"]]}},"locator":"17","label":"page"}],"schema":"https://github.com/citation-style-language/schema/raw/master/csl-citation.json"}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Mark Fisher, </w:t>
      </w:r>
      <w:r w:rsidRPr="001311A3">
        <w:rPr>
          <w:rFonts w:ascii="garamond" w:hAnsi="garamond" w:cs="Calibri"/>
          <w:i/>
          <w:iCs/>
        </w:rPr>
        <w:t>Capitalist Realism: Is There No Alternative?</w:t>
      </w:r>
      <w:r w:rsidRPr="001311A3">
        <w:rPr>
          <w:rFonts w:ascii="garamond" w:hAnsi="garamond" w:cs="Calibri"/>
        </w:rPr>
        <w:t xml:space="preserve"> (Zero Books, 2009), 17.</w:t>
      </w:r>
      <w:r w:rsidRPr="001311A3">
        <w:rPr>
          <w:rFonts w:ascii="garamond" w:hAnsi="garamond"/>
        </w:rPr>
        <w:fldChar w:fldCharType="end"/>
      </w:r>
    </w:p>
  </w:footnote>
  <w:footnote w:id="43">
    <w:p w14:paraId="37E17409" w14:textId="77777777" w:rsidR="005C4580" w:rsidRPr="001311A3" w:rsidRDefault="005C4580" w:rsidP="005C4580">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While not the subject of my analysis, occupations of buildings often involve these constructive elements as well, thought they are often overshadowed by space’s contentious expressive role when it engages material property rather than simply land.  </w:t>
      </w:r>
    </w:p>
  </w:footnote>
  <w:footnote w:id="44">
    <w:p w14:paraId="6C798F65" w14:textId="43B4D2D7" w:rsidR="00CE316E" w:rsidRPr="001311A3" w:rsidRDefault="00CE316E" w:rsidP="00CE316E">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{"citationID":"nS8jvRDh","properties":{"formattedCitation":"Hallie Golden, \\uc0\\u8220{}\\uc0\\u8216{}We\\uc0\\u8217{}re Not Going Anywhere\\uc0\\u8217{}: Seattle\\uc0\\u8217{}s Chop Zone Dismantled but Cause Lives On,\\uc0\\u8221{} {\\i{}The Guardian}, July 2, 2020, sec. US news, https://www.theguardian.com/us-news/2020/jul/02/chop-zone-seattle-police-protest-legacy.","plainCitation":"Hallie Golden, “‘We’re Not Going Anywhere’: Seattle’s Chop Zone Dismantled but Cause Lives On,” The Guardian, July 2, 2020, sec. US news, https://www.theguardian.com/us-news/2020/jul/02/chop-zone-seattle-police-protest-legacy.","noteIndex":37},"citationItems":[{"id":4953,"uris":["http://zotero.org/users/6119520/items/VXL3TQAR"],"itemData":{"id":4953,"type":"article-newspaper","abstract":"The special police-free zone set up by protesters has now been cleared, but activists say they won’t stop the fight for justice","container-title":"The Guardian","ISSN":"0261-3077","language":"en-GB","section":"US news","source":"The Guardian","title":"'We're not going anywhere': Seattle's Chop zone dismantled but cause lives on","title-short":"'We're not going anywhere'","URL":"https://www.theguardian.com/us-news/2020/jul/02/chop-zone-seattle-police-protest-legacy","author":[{"family":"Golden","given":"Hallie"}],"accessed":{"date-parts":[["2022",9,25]]},"issued":{"date-parts":[["2020",7,2]]}}}],"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Hallie Golden, “‘We’re Not Going Anywhere’: Seattle’s Chop Zone Dismantled but Cause Lives On,” </w:t>
      </w:r>
      <w:r w:rsidRPr="001311A3">
        <w:rPr>
          <w:rFonts w:ascii="garamond" w:hAnsi="garamond" w:cs="Calibri"/>
          <w:i/>
          <w:iCs/>
        </w:rPr>
        <w:t>The Guardian</w:t>
      </w:r>
      <w:r w:rsidRPr="001311A3">
        <w:rPr>
          <w:rFonts w:ascii="garamond" w:hAnsi="garamond" w:cs="Calibri"/>
        </w:rPr>
        <w:t>, July 2, 2020, sec. US news, https://www.theguardian.com/us-news/2020/jul/02/chop-zone-seattle-police-protest-legacy.</w:t>
      </w:r>
      <w:r w:rsidRPr="001311A3">
        <w:rPr>
          <w:rFonts w:ascii="garamond" w:hAnsi="garamond"/>
        </w:rPr>
        <w:fldChar w:fldCharType="end"/>
      </w:r>
    </w:p>
  </w:footnote>
  <w:footnote w:id="45">
    <w:p w14:paraId="21476879" w14:textId="38888B85" w:rsidR="00995123" w:rsidRPr="001311A3" w:rsidRDefault="00995123" w:rsidP="0099512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{"citationID":"Otmh4YYQ","properties":{"formattedCitation":"Pascal Sabino, \\uc0\\u8220{}Freedom Square Activists Imagine Public Safety Without Police Near Homan Square \\uc0\\u8216{}Black Site,\\uc0\\u8217{}\\uc0\\u8221{} {\\i{}Block Club Chicago}, July 25, 2020, https://blockclubchicago.org/2020/07/25/freedom-square-activists-imagine-public-safety-without-police-near-homan-square-black-site/.","plainCitation":"Pascal Sabino, “Freedom Square Activists Imagine Public Safety Without Police Near Homan Square ‘Black Site,’” Block Club Chicago, July 25, 2020, https://blockclubchicago.org/2020/07/25/freedom-square-activists-imagine-public-safety-without-police-near-homan-square-black-site/.","noteIndex":45},"citationItems":[{"id":4757,"uris":["http://zotero.org/users/6119520/items/GH5GQ3HG"],"itemData":{"id":4757,"type":"article-magazine","abstract":"For 41 days in 2016, activists transformed a vacant West Side lot into one abundant with resources. They returned to the lot Friday to do it again while demanding the city defund Chicago Police.","container-title":"Block Club Chicago","language":"en","title":"Freedom Square Activists Imagine Public Safety Without Police Near Homan Square 'Black Site'","URL":"https://blockclubchicago.org/2020/07/25/freedom-square-activists-imagine-public-safety-without-police-near-homan-square-black-site/","author":[{"family":"Sabino","given":"Pascal"}],"accessed":{"date-parts":[["2022",9,6]]},"issued":{"date-parts":[["2020",7,25]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Pascal Sabino, “Freedom Square Activists Imagine Public Safety Without Police Near Homan Square ‘Black Site,’” </w:t>
      </w:r>
      <w:r w:rsidRPr="001311A3">
        <w:rPr>
          <w:rFonts w:ascii="garamond" w:hAnsi="garamond" w:cs="Calibri"/>
          <w:i/>
          <w:iCs/>
        </w:rPr>
        <w:t>Block Club Chicago</w:t>
      </w:r>
      <w:r w:rsidRPr="001311A3">
        <w:rPr>
          <w:rFonts w:ascii="garamond" w:hAnsi="garamond" w:cs="Calibri"/>
        </w:rPr>
        <w:t>, July 25, 2020, https://blockclubchicago.org/2020/07/25/freedom-square-activists-imagine-public-safety-without-police-near-homan-square-black-site/.</w:t>
      </w:r>
      <w:r w:rsidRPr="001311A3">
        <w:rPr>
          <w:rFonts w:ascii="garamond" w:hAnsi="garamond"/>
        </w:rPr>
        <w:fldChar w:fldCharType="end"/>
      </w:r>
    </w:p>
  </w:footnote>
  <w:footnote w:id="46">
    <w:p w14:paraId="4B7FBDBA" w14:textId="24231E8B" w:rsidR="00995123" w:rsidRPr="001311A3" w:rsidRDefault="00995123" w:rsidP="0099512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{"citationID":"nXXGh4Ks","properties":{"formattedCitation":"Spencer Ackerman, \\uc0\\u8220{}Homan Square Revealed: How Chicago Police \\uc0\\u8216{}disappeared\\uc0\\u8217{} 7,000 People,\\uc0\\u8221{} {\\i{}The Guardian}, October 19, 2015, sec. US news, https://www.theguardian.com/us-news/2015/oct/19/homan-square-chicago-police-disappeared-thousands.","plainCitation":"Spencer Ackerman, “Homan Square Revealed: How Chicago Police ‘disappeared’ 7,000 People,” The Guardian, October 19, 2015, sec. US news, https://www.theguardian.com/us-news/2015/oct/19/homan-square-chicago-police-disappeared-thousands.","noteIndex":40},"citationItems":[{"id":4796,"uris":["http://zotero.org/users/6119520/items/FLH53PIP"],"itemData":{"id":4796,"type":"article-newspaper","abstract":"Exclusive: Lawsuit exposes scale of detention at off-the-books interrogation warehouse while attorneys describe find-your-client chase ‘from a Bond movie’","container-title":"The Guardian","ISSN":"0261-3077","language":"en-GB","section":"US news","source":"The Guardian","title":"Homan Square revealed: how Chicago police 'disappeared' 7,000 people","title-short":"Homan Square revealed","URL":"https://www.theguardian.com/us-news/2015/oct/19/homan-square-chicago-police-disappeared-thousands","author":[{"family":"Ackerman","given":"Spencer"}],"accessed":{"date-parts":[["2022",9,15]]},"issued":{"date-parts":[["2015",10,19]]}}}],"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Spencer Ackerman, “Homan Square Revealed: How Chicago Police ‘disappeared’ 7,000 People,” </w:t>
      </w:r>
      <w:r w:rsidRPr="001311A3">
        <w:rPr>
          <w:rFonts w:ascii="garamond" w:hAnsi="garamond" w:cs="Calibri"/>
          <w:i/>
          <w:iCs/>
        </w:rPr>
        <w:t>The Guardian</w:t>
      </w:r>
      <w:r w:rsidRPr="001311A3">
        <w:rPr>
          <w:rFonts w:ascii="garamond" w:hAnsi="garamond" w:cs="Calibri"/>
        </w:rPr>
        <w:t>, October 19, 2015, sec. US news, https://www.theguardian.com/us-news/2015/oct/19/homan-square-chicago-police-disappeared-thousands.</w:t>
      </w:r>
      <w:r w:rsidRPr="001311A3">
        <w:rPr>
          <w:rFonts w:ascii="garamond" w:hAnsi="garamond"/>
        </w:rPr>
        <w:fldChar w:fldCharType="end"/>
      </w:r>
    </w:p>
  </w:footnote>
  <w:footnote w:id="47">
    <w:p w14:paraId="7E9E6541" w14:textId="6A92563A" w:rsidR="00995123" w:rsidRPr="001311A3" w:rsidRDefault="00995123" w:rsidP="0099512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eastAsia="Times New Roman" w:hAnsi="garamond" w:cs="Times New Roman"/>
        </w:rPr>
        <w:t xml:space="preserve">Some lawyers and researchers have argued that these conditions were not unique to the Homan Square facility, but were generally standard practice across the CPD. </w:t>
      </w:r>
      <w:r w:rsidRPr="001311A3">
        <w:rPr>
          <w:rFonts w:ascii="garamond" w:hAnsi="garamond"/>
        </w:rPr>
        <w:fldChar w:fldCharType="begin"/>
      </w:r>
      <w:r w:rsidR="00BB0C6D" w:rsidRPr="001311A3">
        <w:rPr>
          <w:rFonts w:ascii="garamond" w:hAnsi="garamond"/>
        </w:rPr>
        <w:instrText xml:space="preserve"> ADDIN ZOTERO_ITEM CSL_CITATION {"citationID":"P5MbXTsm","properties":{"formattedCitation":"David Heinzmann and Jeremy Gorner, \\uc0\\u8220{}Lawyers Wary of Claim about Chicago Police \\uc0\\u8216{}black Site,\\uc0\\u8217{} Say Abuse Citywide,\\uc0\\u8221{} {\\i{}Chicago Tribune}, February 28, 2015, https://www.chicagotribune.com/news/breaking/ct-homan-square-chicago-police-met-20150227-story.html.","plainCitation":"David Heinzmann and Jeremy Gorner, “Lawyers Wary of Claim about Chicago Police ‘black Site,’ Say Abuse Citywide,” Chicago Tribune, February 28, 2015, https://www.chicagotribune.com/news/breaking/ct-homan-square-chicago-police-met-20150227-story.html.","noteIndex":41},"citationItems":[{"id":4958,"uris":["http://zotero.org/users/6119520/items/G4E93FU9"],"itemData":{"id":4958,"type":"article-newspaper","abstract":"Problems cited in The Guardian have been a systemic issue with Chicago police for decades, not one particular to the Homan Square facility, lawyers say.","container-title":"Chicago Tribune","language":"English (United States), en-US","title":"Lawyers wary of claim about Chicago police 'black site,' say abuse citywide","URL":"https://www.chicagotribune.com/news/breaking/ct-homan-square-chicago-police-met-20150227-story.html","author":[{"family":"Heinzmann","given":"David"},{"family":"Gorner","given":"Jeremy"}],"accessed":{"date-parts":[["2022",9,25]]},"issued":{"date-parts":[["2015",2,28]]}}}],"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David Heinzmann and Jeremy Gorner, “Lawyers Wary of Claim about Chicago Police ‘black Site,’ Say Abuse Citywide,” </w:t>
      </w:r>
      <w:r w:rsidRPr="001311A3">
        <w:rPr>
          <w:rFonts w:ascii="garamond" w:hAnsi="garamond" w:cs="Calibri"/>
          <w:i/>
          <w:iCs/>
        </w:rPr>
        <w:t>Chicago Tribune</w:t>
      </w:r>
      <w:r w:rsidRPr="001311A3">
        <w:rPr>
          <w:rFonts w:ascii="garamond" w:hAnsi="garamond" w:cs="Calibri"/>
        </w:rPr>
        <w:t>, February 28, 2015, https://www.chicagotribune.com/news/breaking/ct-homan-square-chicago-police-met-20150227-story.html.</w:t>
      </w:r>
      <w:r w:rsidRPr="001311A3">
        <w:rPr>
          <w:rFonts w:ascii="garamond" w:hAnsi="garamond"/>
        </w:rPr>
        <w:fldChar w:fldCharType="end"/>
      </w:r>
    </w:p>
  </w:footnote>
  <w:footnote w:id="48">
    <w:p w14:paraId="1D9F62E8" w14:textId="1033D510" w:rsidR="00995123" w:rsidRPr="001311A3" w:rsidRDefault="00995123" w:rsidP="0099512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{"citationID":"yelfepl4","properties":{"formattedCitation":"The #LetUsBreathe Collective, \\uc0\\u8220{}Our Story,\\uc0\\u8221{} 2022, https://www.letusbreathecollective.com/our-story.","plainCitation":"The #LetUsBreathe Collective, “Our Story,” 2022, https://www.letusbreathecollective.com/our-story.","noteIndex":42},"citationItems":[{"id":4960,"uris":["http://zotero.org/users/6119520/items/TCMLGKJY"],"itemData":{"id":4960,"type":"webpage","abstract":"The #LetUsBreathe Collective is an alliance of artists and activists organizing through a creative lens to imagine a world without prisons and police. The Collective operates the Breathing Room space, a Black-led liberation headquarters for arts, organizing, and healing on Chicago's South Side.","language":"en","title":"Our Story","URL":"https://www.letusbreathecollective.com/our-story","author":[{"literal":"The #LetUsBreathe Collective"}],"accessed":{"date-parts":[["2022",9,25]]},"issued":{"date-parts":[["2022"]]}}}],"schema":"https://github.com/citation-style-language/schema/raw/master/csl-citation.json"} </w:instrText>
      </w:r>
      <w:r w:rsidRPr="001311A3">
        <w:rPr>
          <w:rFonts w:ascii="garamond" w:hAnsi="garamond"/>
        </w:rPr>
        <w:fldChar w:fldCharType="separate"/>
      </w:r>
      <w:r w:rsidRPr="001311A3">
        <w:rPr>
          <w:rFonts w:ascii="garamond" w:hAnsi="garamond" w:cs="Calibri"/>
        </w:rPr>
        <w:t>The #LetUsBreathe Collective, “Our Story,” 2022, https://www.letusbreathecollective.com/our-story.</w:t>
      </w:r>
      <w:r w:rsidRPr="001311A3">
        <w:rPr>
          <w:rFonts w:ascii="garamond" w:hAnsi="garamond"/>
        </w:rPr>
        <w:fldChar w:fldCharType="end"/>
      </w:r>
    </w:p>
  </w:footnote>
  <w:footnote w:id="49">
    <w:p w14:paraId="64B15088" w14:textId="60682DD4" w:rsidR="002D01BF" w:rsidRPr="001311A3" w:rsidRDefault="002D01BF" w:rsidP="002D01B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{"citationID":"9G5TwxDb","properties":{"formattedCitation":"{\\i{}Welcome to Freedom Square} (The Chicago Reporter, 2016), https://www.youtube.com/watch?v=Ct-yzh07dAM.","plainCitation":"Welcome to Freedom Square (The Chicago Reporter, 2016), https://www.youtube.com/watch?v=Ct-yzh07dAM.","noteIndex":49},"citationItems":[{"id":4798,"uris":["http://zotero.org/users/6119520/items/QMBQKGXX"],"itemData":{"id":4798,"type":"motion_picture","dimensions":"4:17","publisher":"The Chicago Reporter","source":"YouTube","title":"Welcome to Freedom Square","URL":"https://www.youtube.com/watch?v=Ct-yzh07dAM","producer":[{"family":"Harris","given":"Lauren"}],"accessed":{"date-parts":[["2022",9,16]]},"issued":{"date-parts":[["2016",7,28]]}}}],"schema":"https://github.com/citation-style-language/schema/raw/master/csl-citation.json"} </w:instrText>
      </w:r>
      <w:r w:rsidRPr="001311A3">
        <w:rPr>
          <w:rFonts w:ascii="garamond" w:hAnsi="garamond"/>
        </w:rPr>
        <w:fldChar w:fldCharType="separate"/>
      </w:r>
      <w:r w:rsidR="00840E3F" w:rsidRPr="001311A3">
        <w:rPr>
          <w:rFonts w:ascii="garamond" w:hAnsi="garamond" w:cs="Times New Roman"/>
          <w:i/>
          <w:iCs/>
        </w:rPr>
        <w:t>Welcome to Freedom Square</w:t>
      </w:r>
      <w:r w:rsidR="00840E3F" w:rsidRPr="001311A3">
        <w:rPr>
          <w:rFonts w:ascii="garamond" w:hAnsi="garamond" w:cs="Times New Roman"/>
        </w:rPr>
        <w:t xml:space="preserve"> (The Chicago Reporter, 2016), https://www.youtube.com/watch?v=Ct-yzh07dAM.</w:t>
      </w:r>
      <w:r w:rsidRPr="001311A3">
        <w:rPr>
          <w:rFonts w:ascii="garamond" w:hAnsi="garamond"/>
        </w:rPr>
        <w:fldChar w:fldCharType="end"/>
      </w:r>
      <w:r w:rsidRPr="001311A3">
        <w:rPr>
          <w:rFonts w:ascii="garamond" w:hAnsi="garamond"/>
        </w:rPr>
        <w:t xml:space="preserve"> Produced by Lauren Harris, </w:t>
      </w:r>
      <w:r w:rsidRPr="001311A3">
        <w:rPr>
          <w:rFonts w:ascii="garamond" w:hAnsi="garamond"/>
          <w:i/>
          <w:iCs/>
        </w:rPr>
        <w:t>Chicago Reporter</w:t>
      </w:r>
      <w:r w:rsidRPr="001311A3">
        <w:rPr>
          <w:rFonts w:ascii="garamond" w:hAnsi="garamond"/>
        </w:rPr>
        <w:t>, August 28, 2016, Video.</w:t>
      </w:r>
    </w:p>
  </w:footnote>
  <w:footnote w:id="50">
    <w:p w14:paraId="016B5943" w14:textId="40A91898" w:rsidR="002D01BF" w:rsidRPr="001311A3" w:rsidRDefault="002D01BF" w:rsidP="002D01B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{"citationID":"t5pHDZwg","properties":{"formattedCitation":"Christopher Borrelli, \\uc0\\u8220{}A Tent City Grows in Homan Square,\\uc0\\u8221{} {\\i{}Chicago Tribune}, August 25, 2016, https://www.chicagotribune.com/entertainment/ct-freedom-square-ent-0823-20160823-column.html.","plainCitation":"Christopher Borrelli, “A Tent City Grows in Homan Square,” Chicago Tribune, August 25, 2016, https://www.chicagotribune.com/entertainment/ct-freedom-square-ent-0823-20160823-column.html.","noteIndex":50},"citationItems":[{"id":4955,"uris":["http://zotero.org/users/6119520/items/NYWPE73S"],"itemData":{"id":4955,"type":"article-newspaper","container-title":"Chicago Tribune","title":"A tent city grows in Homan Square","URL":"https://www.chicagotribune.com/entertainment/ct-freedom-square-ent-0823-20160823-column.html","author":[{"family":"Borrelli","given":"Christopher"}],"issued":{"date-parts":[["2016",8,25]]}}}],"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Christopher Borrelli, “A Tent City Grows in Homan Square,” </w:t>
      </w:r>
      <w:r w:rsidRPr="001311A3">
        <w:rPr>
          <w:rFonts w:ascii="garamond" w:hAnsi="garamond" w:cs="Calibri"/>
          <w:i/>
          <w:iCs/>
        </w:rPr>
        <w:t>Chicago Tribune</w:t>
      </w:r>
      <w:r w:rsidRPr="001311A3">
        <w:rPr>
          <w:rFonts w:ascii="garamond" w:hAnsi="garamond" w:cs="Calibri"/>
        </w:rPr>
        <w:t>, August 25, 2016, https://www.chicagotribune.com/entertainment/ct-freedom-square-ent-0823-20160823-column.html.</w:t>
      </w:r>
      <w:r w:rsidRPr="001311A3">
        <w:rPr>
          <w:rFonts w:ascii="garamond" w:hAnsi="garamond"/>
        </w:rPr>
        <w:fldChar w:fldCharType="end"/>
      </w:r>
    </w:p>
  </w:footnote>
  <w:footnote w:id="51">
    <w:p w14:paraId="0E4C0961" w14:textId="45B63851" w:rsidR="002D01BF" w:rsidRPr="001311A3" w:rsidRDefault="002D01BF" w:rsidP="002D01B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{"citationID":"sb5VGjYe","properties":{"formattedCitation":"Derrick Clifton, \\uc0\\u8220{}How Protests in Ferguson Inspired the Occupation of \\uc0\\u8216{}Freedom Square,\\uc0\\u8217{}\\uc0\\u8221{} {\\i{}Chicago Reader}, August 9, 2016, http://chicagoreader.com/columns-opinion/how-protests-in-ferguson-inspired-the-occupation-of-freedom-square/.","plainCitation":"Derrick Clifton, “How Protests in Ferguson Inspired the Occupation of ‘Freedom Square,’” Chicago Reader, August 9, 2016, http://chicagoreader.com/columns-opinion/how-protests-in-ferguson-inspired-the-occupation-of-freedom-square/.","noteIndex":51},"citationItems":[{"id":4754,"uris":["http://zotero.org/users/6119520/items/7TTLJJ72"],"itemData":{"id":4754,"type":"article-newspaper","abstract":"Before Chicago activists set up camp at Homan Square, Ferguson activists camped across from police headquarters for 47 straight days.","container-title":"Chicago Reader","event-place":"Chicago","language":"en-US","publisher-place":"Chicago","title":"How protests in Ferguson inspired the occupation of ‘Freedom Square’","URL":"http://chicagoreader.com/columns-opinion/how-protests-in-ferguson-inspired-the-occupation-of-freedom-square/","author":[{"family":"Clifton","given":"Derrick"}],"accessed":{"date-parts":[["2022",9,6]]},"issued":{"date-parts":[["2016",8,9]]}}}],"schema":"https://github.com/citation-style-language/schema/raw/master/csl-citation.json"} </w:instrText>
      </w:r>
      <w:r w:rsidRPr="001311A3">
        <w:rPr>
          <w:rFonts w:ascii="garamond" w:hAnsi="garamond"/>
        </w:rPr>
        <w:fldChar w:fldCharType="separate"/>
      </w:r>
      <w:r w:rsidR="00840E3F" w:rsidRPr="001311A3">
        <w:rPr>
          <w:rFonts w:ascii="garamond" w:hAnsi="garamond" w:cs="Times New Roman"/>
        </w:rPr>
        <w:t xml:space="preserve">Derrick Clifton, “How Protests in Ferguson Inspired the Occupation of ‘Freedom Square,’” </w:t>
      </w:r>
      <w:r w:rsidR="00840E3F" w:rsidRPr="001311A3">
        <w:rPr>
          <w:rFonts w:ascii="garamond" w:hAnsi="garamond" w:cs="Times New Roman"/>
          <w:i/>
          <w:iCs/>
        </w:rPr>
        <w:t>Chicago Reader</w:t>
      </w:r>
      <w:r w:rsidR="00840E3F" w:rsidRPr="001311A3">
        <w:rPr>
          <w:rFonts w:ascii="garamond" w:hAnsi="garamond" w:cs="Times New Roman"/>
        </w:rPr>
        <w:t>, August 9, 2016, http://chicagoreader.com/columns-opinion/how-protests-in-ferguson-inspired-the-occupation-of-freedom-square/.</w:t>
      </w:r>
      <w:r w:rsidRPr="001311A3">
        <w:rPr>
          <w:rFonts w:ascii="garamond" w:hAnsi="garamond"/>
        </w:rPr>
        <w:fldChar w:fldCharType="end"/>
      </w:r>
    </w:p>
  </w:footnote>
  <w:footnote w:id="52">
    <w:p w14:paraId="0FB3441D" w14:textId="559BED90" w:rsidR="0038167B" w:rsidRPr="001311A3" w:rsidRDefault="0038167B" w:rsidP="0038167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{"citationID":"8ZRP1nTw","properties":{"formattedCitation":"Ibid.","plainCitation":"Ibid.","noteIndex":52},"citationItems":[{"id":4754,"uris":["http://zotero.org/users/6119520/items/7TTLJJ72"],"itemData":{"id":4754,"type":"article-newspaper","abstract":"Before Chicago activists set up camp at Homan Square, Ferguson activists camped across from police headquarters for 47 straight days.","container-title":"Chicago Reader","event-place":"Chicago","language":"en-US","publisher-place":"Chicago","title":"How protests in Ferguson inspired the occupation of ‘Freedom Square’","URL":"http://chicagoreader.com/columns-opinion/how-protests-in-ferguson-inspired-the-occupation-of-freedom-square/","author":[{"family":"Clifton","given":"Derrick"}],"accessed":{"date-parts":[["2022",9,6]]},"issued":{"date-parts":[["2016",8,9]]}}}],"schema":"https://github.com/citation-style-language/schema/raw/master/csl-citation.json"} </w:instrText>
      </w:r>
      <w:r w:rsidRPr="001311A3">
        <w:rPr>
          <w:rFonts w:ascii="garamond" w:hAnsi="garamond"/>
        </w:rPr>
        <w:fldChar w:fldCharType="separate"/>
      </w:r>
      <w:r w:rsidR="00840E3F" w:rsidRPr="001311A3">
        <w:rPr>
          <w:rFonts w:ascii="garamond" w:hAnsi="garamond" w:cs="Calibri"/>
        </w:rPr>
        <w:t>Ibid.</w:t>
      </w:r>
      <w:r w:rsidRPr="001311A3">
        <w:rPr>
          <w:rFonts w:ascii="garamond" w:hAnsi="garamond"/>
        </w:rPr>
        <w:fldChar w:fldCharType="end"/>
      </w:r>
    </w:p>
  </w:footnote>
  <w:footnote w:id="53">
    <w:p w14:paraId="6B48B60B" w14:textId="3590C1A7" w:rsidR="0038167B" w:rsidRPr="001311A3" w:rsidRDefault="0038167B" w:rsidP="0038167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{"citationID":"esXnaQh5","properties":{"formattedCitation":"{\\i{}Welcome to Freedom Square}.","plainCitation":"Welcome to Freedom Square.","noteIndex":53},"citationItems":[{"id":4798,"uris":["http://zotero.org/users/6119520/items/QMBQKGXX"],"itemData":{"id":4798,"type":"motion_picture","dimensions":"4:17","publisher":"The Chicago Reporter","source":"YouTube","title":"Welcome to Freedom Square","URL":"https://www.youtube.com/watch?v=Ct-yzh07dAM","producer":[{"family":"Harris","given":"Lauren"}],"accessed":{"date-parts":[["2022",9,16]]},"issued":{"date-parts":[["2016",7,28]]}}}],"schema":"https://github.com/citation-style-language/schema/raw/master/csl-citation.json"} </w:instrText>
      </w:r>
      <w:r w:rsidRPr="001311A3">
        <w:rPr>
          <w:rFonts w:ascii="garamond" w:hAnsi="garamond"/>
        </w:rPr>
        <w:fldChar w:fldCharType="separate"/>
      </w:r>
      <w:r w:rsidR="00840E3F" w:rsidRPr="001311A3">
        <w:rPr>
          <w:rFonts w:ascii="garamond" w:hAnsi="garamond" w:cs="Times New Roman"/>
          <w:i/>
          <w:iCs/>
        </w:rPr>
        <w:t>Welcome to Freedom Square</w:t>
      </w:r>
      <w:r w:rsidR="00840E3F" w:rsidRPr="001311A3">
        <w:rPr>
          <w:rFonts w:ascii="garamond" w:hAnsi="garamond" w:cs="Times New Roman"/>
        </w:rPr>
        <w:t>.</w:t>
      </w:r>
      <w:r w:rsidRPr="001311A3">
        <w:rPr>
          <w:rFonts w:ascii="garamond" w:hAnsi="garamond"/>
        </w:rPr>
        <w:fldChar w:fldCharType="end"/>
      </w:r>
    </w:p>
  </w:footnote>
  <w:footnote w:id="54">
    <w:p w14:paraId="0D4B9802" w14:textId="77777777" w:rsidR="0038167B" w:rsidRPr="001311A3" w:rsidRDefault="0038167B" w:rsidP="0038167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{"citationID":"z16IKjGZ","properties":{"formattedCitation":"Erica Westly, \\uc0\\u8220{}Former Sears Complex Returns as a Beacon in a Chicago Neighborhood,\\uc0\\u8221{} {\\i{}The New York Times}, March 12, 2019, sec. Business, https://www.nytimes.com/2019/03/12/business/sears-chicago-homan-square.html.","plainCitation":"Erica Westly, “Former Sears Complex Returns as a Beacon in a Chicago Neighborhood,” The New York Times, March 12, 2019, sec. Business, https://www.nytimes.com/2019/03/12/business/sears-chicago-homan-square.html.","noteIndex":38},"citationItems":[{"id":4927,"uris":["http://zotero.org/users/6119520/items/JTGJBVFA"],"itemData":{"id":4927,"type":"article-newspaper","abstract":"The North Lawndale headquarters, a source of pride to residents before the retailer moved downtown, has slowly been redeveloped after years of sitting vacant.","container-title":"The New York Times","ISSN":"0362-4331","language":"en-US","section":"Business","source":"NYTimes.com","title":"Former Sears Complex Returns as a Beacon in a Chicago Neighborhood","URL":"https://www.nytimes.com/2019/03/12/business/sears-chicago-homan-square.html","author":[{"family":"Westly","given":"Erica"}],"accessed":{"date-parts":[["2022",9,22]]},"issued":{"date-parts":[["2019",3,12]]}}}],"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Erica Westly, “Former Sears Complex Returns as a Beacon in a Chicago Neighborhood,” </w:t>
      </w:r>
      <w:r w:rsidRPr="001311A3">
        <w:rPr>
          <w:rFonts w:ascii="garamond" w:hAnsi="garamond" w:cs="Calibri"/>
          <w:i/>
          <w:iCs/>
        </w:rPr>
        <w:t>The New York Times</w:t>
      </w:r>
      <w:r w:rsidRPr="001311A3">
        <w:rPr>
          <w:rFonts w:ascii="garamond" w:hAnsi="garamond" w:cs="Calibri"/>
        </w:rPr>
        <w:t>, March 12, 2019, sec. Business, https://www.nytimes.com/2019/03/12/business/sears-chicago-homan-square.html.</w:t>
      </w:r>
      <w:r w:rsidRPr="001311A3">
        <w:rPr>
          <w:rFonts w:ascii="garamond" w:hAnsi="garamond"/>
        </w:rPr>
        <w:fldChar w:fldCharType="end"/>
      </w:r>
    </w:p>
  </w:footnote>
  <w:footnote w:id="55">
    <w:p w14:paraId="425CBD8A" w14:textId="59D6762D" w:rsidR="00557BA4" w:rsidRPr="001311A3" w:rsidRDefault="00557BA4">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{"citationID":"xxRRW3T3","properties":{"formattedCitation":"Borrelli, \\uc0\\u8220{}A Tent City Grows in Homan Square.\\uc0\\u8221{}","plainCitation":"Borrelli, “A Tent City Grows in Homan Square.”","noteIndex":55},"citationItems":[{"id":4955,"uris":["http://zotero.org/users/6119520/items/NYWPE73S"],"itemData":{"id":4955,"type":"article-newspaper","container-title":"Chicago Tribune","title":"A tent city grows in Homan Square","URL":"https://www.chicagotribune.com/entertainment/ct-freedom-square-ent-0823-20160823-column.html","author":[{"family":"Borrelli","given":"Christopher"}],"issued":{"date-parts":[["2016",8,25]]}}}],"schema":"https://github.com/citation-style-language/schema/raw/master/csl-citation.json"} </w:instrText>
      </w:r>
      <w:r w:rsidRPr="001311A3">
        <w:rPr>
          <w:rFonts w:ascii="garamond" w:hAnsi="garamond"/>
        </w:rPr>
        <w:fldChar w:fldCharType="separate"/>
      </w:r>
      <w:r w:rsidRPr="001311A3">
        <w:rPr>
          <w:rFonts w:ascii="garamond" w:hAnsi="garamond" w:cs="Calibri"/>
        </w:rPr>
        <w:t>Borrelli, “A Tent City Grows in Homan Square.”</w:t>
      </w:r>
      <w:r w:rsidRPr="001311A3">
        <w:rPr>
          <w:rFonts w:ascii="garamond" w:hAnsi="garamond"/>
        </w:rPr>
        <w:fldChar w:fldCharType="end"/>
      </w:r>
    </w:p>
  </w:footnote>
  <w:footnote w:id="56">
    <w:p w14:paraId="6F52335B" w14:textId="5AEC9844" w:rsidR="0030024C" w:rsidRPr="001311A3" w:rsidRDefault="0030024C" w:rsidP="0030024C">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{"citationID":"9onzngSf","properties":{"formattedCitation":"{\\i{}Welcome to Freedom Square}.","plainCitation":"Welcome to Freedom Square.","noteIndex":56},"citationItems":[{"id":4798,"uris":["http://zotero.org/users/6119520/items/QMBQKGXX"],"itemData":{"id":4798,"type":"motion_picture","dimensions":"4:17","publisher":"The Chicago Reporter","source":"YouTube","title":"Welcome to Freedom Square","URL":"https://www.youtube.com/watch?v=Ct-yzh07dAM","producer":[{"family":"Harris","given":"Lauren"}],"accessed":{"date-parts":[["2022",9,16]]},"issued":{"date-parts":[["2016",7,28]]}}}],"schema":"https://github.com/citation-style-language/schema/raw/master/csl-citation.json"} </w:instrText>
      </w:r>
      <w:r w:rsidRPr="001311A3">
        <w:rPr>
          <w:rFonts w:ascii="garamond" w:hAnsi="garamond"/>
        </w:rPr>
        <w:fldChar w:fldCharType="separate"/>
      </w:r>
      <w:r w:rsidRPr="001311A3">
        <w:rPr>
          <w:rFonts w:ascii="garamond" w:hAnsi="garamond" w:cs="Times New Roman"/>
          <w:i/>
          <w:iCs/>
        </w:rPr>
        <w:t>Welcome to Freedom Square</w:t>
      </w:r>
      <w:r w:rsidRPr="001311A3">
        <w:rPr>
          <w:rFonts w:ascii="garamond" w:hAnsi="garamond" w:cs="Times New Roman"/>
        </w:rPr>
        <w:t>.</w:t>
      </w:r>
      <w:r w:rsidRPr="001311A3">
        <w:rPr>
          <w:rFonts w:ascii="garamond" w:hAnsi="garamond"/>
        </w:rPr>
        <w:fldChar w:fldCharType="end"/>
      </w:r>
    </w:p>
  </w:footnote>
  <w:footnote w:id="57">
    <w:p w14:paraId="4DE60502" w14:textId="3D320269" w:rsidR="009973A0" w:rsidRPr="001311A3" w:rsidRDefault="009973A0" w:rsidP="009973A0">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01811" w:rsidRPr="001311A3">
        <w:rPr>
          <w:rFonts w:ascii="garamond" w:hAnsi="garamond"/>
        </w:rPr>
        <w:instrText xml:space="preserve"> ADDIN ZOTERO_ITEM CSL_CITATION {"citationID":"FioQy6ms","properties":{"formattedCitation":"Bourdieu, {\\i{}The Logic of Practice}, 64.","plainCitation":"Bourdieu, The Logic of Practice, 64.","noteIndex":57},"citationItems":[{"id":3592,"uris":["http://zotero.org/users/6119520/items/66KXFRZU"],"itemData":{"id":3592,"type":"book","note":"1980","title":"The Logic of Practice","author":[{"family":"Bourdieu","given":"Pierre"}],"translator":[{"family":"Nice","given":"Richard"}],"issued":{"date-parts":[["1990"]]}},"locator":"64"}],"schema":"https://github.com/citation-style-language/schema/raw/master/csl-citation.json"} </w:instrText>
      </w:r>
      <w:r w:rsidRPr="001311A3">
        <w:rPr>
          <w:rFonts w:ascii="garamond" w:hAnsi="garamond"/>
        </w:rPr>
        <w:fldChar w:fldCharType="separate"/>
      </w:r>
      <w:r w:rsidR="003B0055" w:rsidRPr="001311A3">
        <w:rPr>
          <w:rFonts w:ascii="garamond" w:hAnsi="garamond" w:cs="Times New Roman"/>
        </w:rPr>
        <w:t xml:space="preserve">Bourdieu, </w:t>
      </w:r>
      <w:r w:rsidR="003B0055" w:rsidRPr="001311A3">
        <w:rPr>
          <w:rFonts w:ascii="garamond" w:hAnsi="garamond" w:cs="Times New Roman"/>
          <w:i/>
          <w:iCs/>
        </w:rPr>
        <w:t>The Logic of Practice</w:t>
      </w:r>
      <w:r w:rsidR="003B0055" w:rsidRPr="001311A3">
        <w:rPr>
          <w:rFonts w:ascii="garamond" w:hAnsi="garamond" w:cs="Times New Roman"/>
        </w:rPr>
        <w:t>, 64.</w:t>
      </w:r>
      <w:r w:rsidRPr="001311A3">
        <w:rPr>
          <w:rFonts w:ascii="garamond" w:hAnsi="garamond"/>
        </w:rPr>
        <w:fldChar w:fldCharType="end"/>
      </w:r>
    </w:p>
  </w:footnote>
  <w:footnote w:id="58">
    <w:p w14:paraId="33114DFD" w14:textId="53C989E2" w:rsidR="00381688" w:rsidRPr="001311A3" w:rsidRDefault="00381688" w:rsidP="00381688">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{"citationID":"WnoqTSjb","properties":{"formattedCitation":"Michael Billig, {\\i{}Banal Nationalism} (London: SAGE, 1995), 42.","plainCitation":"Michael Billig, Banal Nationalism (London: SAGE, 1995), 42.","noteIndex":51},"citationItems":[{"id":4967,"uris":["http://zotero.org/users/6119520/items/M3Q3BNMP"],"itemData":{"id":4967,"type":"book","event-place":"London","publisher":"SAGE","publisher-place":"London","title":"Banal Nationalism","author":[{"family":"Billig","given":"Michael"}],"issued":{"date-parts":[["1995"]]}},"locator":"42","label":"page"}],"schema":"https://github.com/citation-style-language/schema/raw/master/csl-citation.json"}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Michael Billig, </w:t>
      </w:r>
      <w:r w:rsidRPr="001311A3">
        <w:rPr>
          <w:rFonts w:ascii="garamond" w:hAnsi="garamond" w:cs="Calibri"/>
          <w:i/>
          <w:iCs/>
        </w:rPr>
        <w:t>Banal Nationalism</w:t>
      </w:r>
      <w:r w:rsidRPr="001311A3">
        <w:rPr>
          <w:rFonts w:ascii="garamond" w:hAnsi="garamond" w:cs="Calibri"/>
        </w:rPr>
        <w:t xml:space="preserve"> (London: SAGE, 1995), 42.</w:t>
      </w:r>
      <w:r w:rsidRPr="001311A3">
        <w:rPr>
          <w:rFonts w:ascii="garamond" w:hAnsi="garamond"/>
        </w:rPr>
        <w:fldChar w:fldCharType="end"/>
      </w:r>
    </w:p>
  </w:footnote>
  <w:footnote w:id="59">
    <w:p w14:paraId="1182A89C" w14:textId="7C39E311" w:rsidR="00D7102C" w:rsidRPr="001311A3" w:rsidRDefault="00D7102C" w:rsidP="00D7102C">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{"citationID":"zoGxjkJ5","properties":{"formattedCitation":"Sabino, \\uc0\\u8220{}Freedom Square Activists Imagine Public Safety Without Police Near Homan Square \\uc0\\u8216{}Black Site.\\uc0\\u8217{}\\uc0\\u8221{}","plainCitation":"Sabino, “Freedom Square Activists Imagine Public Safety Without Police Near Homan Square ‘Black Site.’”","noteIndex":59},"citationItems":[{"id":4757,"uris":["http://zotero.org/users/6119520/items/GH5GQ3HG"],"itemData":{"id":4757,"type":"article-magazine","abstract":"For 41 days in 2016, activists transformed a vacant West Side lot into one abundant with resources. They returned to the lot Friday to do it again while demanding the city defund Chicago Police.","container-title":"Block Club Chicago","language":"en","title":"Freedom Square Activists Imagine Public Safety Without Police Near Homan Square 'Black Site'","URL":"https://blockclubchicago.org/2020/07/25/freedom-square-activists-imagine-public-safety-without-police-near-homan-square-black-site/","author":[{"family":"Sabino","given":"Pascal"}],"accessed":{"date-parts":[["2022",9,6]]},"issued":{"date-parts":[["2020",7,25]]}}}],"schema":"https://github.com/citation-style-language/schema/raw/master/csl-citation.json"} </w:instrText>
      </w:r>
      <w:r w:rsidRPr="001311A3">
        <w:rPr>
          <w:rFonts w:ascii="garamond" w:hAnsi="garamond"/>
        </w:rPr>
        <w:fldChar w:fldCharType="separate"/>
      </w:r>
      <w:r w:rsidRPr="001311A3">
        <w:rPr>
          <w:rFonts w:ascii="garamond" w:hAnsi="garamond" w:cs="Calibri"/>
        </w:rPr>
        <w:t>Sabino, “Freedom Square Activists Imagine Public Safety Without Police Near Homan Square ‘Black Site.’”</w:t>
      </w:r>
      <w:r w:rsidRPr="001311A3">
        <w:rPr>
          <w:rFonts w:ascii="garamond" w:hAnsi="garamond"/>
        </w:rPr>
        <w:fldChar w:fldCharType="end"/>
      </w:r>
    </w:p>
  </w:footnote>
  <w:footnote w:id="60">
    <w:p w14:paraId="784FA8F0" w14:textId="395B8F65" w:rsidR="00995123" w:rsidRPr="001311A3" w:rsidRDefault="00995123" w:rsidP="0099512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{"citationID":"60BpFAwa","properties":{"formattedCitation":"BLM Chicago and Mental Health Movement, \\uc0\\u8220{}Healing Village: Healing as a Radical Act of Resistance,\\uc0\\u8221{} Event Page and Forum, {\\i{}Facebook Events}, July 7, 2018, https://www.facebook.com/events/457457404680113/?active_tab=discussion.","plainCitation":"BLM Chicago and Mental Health Movement, “Healing Village: Healing as a Radical Act of Resistance,” Event Page and Forum, Facebook Events, July 7, 2018, https://www.facebook.com/events/457457404680113/?active_tab=discussion.","noteIndex":53},"citationItems":[{"id":31,"uris":["http://zotero.org/users/6119520/items/E4P2ZF5S"],"itemData":{"id":31,"type":"post","container-title":"Facebook Events","genre":"Event Page and Forum","title":"Healing Village: Healing as a Radical Act of Resistance","URL":"https://www.facebook.com/events/457457404680113/?active_tab=discussion","author":[{"family":"BLM Chicago","given":""},{"family":"Mental Health Movement","given":""}],"accessed":{"date-parts":[["2018",12,10]]},"issued":{"date-parts":[["2018",7,7]]}}}],"schema":"https://github.com/citation-style-language/schema/raw/master/csl-citation.json"}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BLM Chicago and Mental Health Movement, “Healing Village: Healing as a Radical Act of Resistance,” Event Page and Forum, </w:t>
      </w:r>
      <w:r w:rsidRPr="001311A3">
        <w:rPr>
          <w:rFonts w:ascii="garamond" w:hAnsi="garamond" w:cs="Calibri"/>
          <w:i/>
          <w:iCs/>
        </w:rPr>
        <w:t>Facebook Events</w:t>
      </w:r>
      <w:r w:rsidRPr="001311A3">
        <w:rPr>
          <w:rFonts w:ascii="garamond" w:hAnsi="garamond" w:cs="Calibri"/>
        </w:rPr>
        <w:t>, July 7, 2018, https://www.facebook.com/events/457457404680113/?active_tab=discussion.</w:t>
      </w:r>
      <w:r w:rsidRPr="001311A3">
        <w:rPr>
          <w:rFonts w:ascii="garamond" w:hAnsi="garamond"/>
        </w:rPr>
        <w:fldChar w:fldCharType="end"/>
      </w:r>
    </w:p>
  </w:footnote>
  <w:footnote w:id="61">
    <w:p w14:paraId="46B09CBF" w14:textId="596A6327" w:rsidR="00955A96" w:rsidRPr="001311A3" w:rsidRDefault="00955A96" w:rsidP="00955A9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{"citationID":"dM7KBviv","properties":{"formattedCitation":"BLM Chicago, Southside Together Organizing for Power, and First Defense Legal Aid, \\uc0\\u8220{}Know Your Rights! Know Your Resources!,\\uc0\\u8221{} Event Page and Forum, {\\i{}Facebook Events}, August 18, 2018, https://www.facebook.com/events/535840626874846/?active_tab=discussion.","plainCitation":"BLM Chicago, Southside Together Organizing for Power, and First Defense Legal Aid, “Know Your Rights! Know Your Resources!,” Event Page and Forum, Facebook Events, August 18, 2018, https://www.facebook.com/events/535840626874846/?active_tab=discussion.","noteIndex":54},"citationItems":[{"id":29,"uris":["http://zotero.org/users/6119520/items/U2EU4KYX"],"itemData":{"id":29,"type":"post","container-title":"Facebook Events","genre":"Event Page and Forum","title":"Know Your Rights! Know Your Resources!","URL":"https://www.facebook.com/events/535840626874846/?active_tab=discussion","author":[{"family":"BLM Chicago","given":""},{"family":"Southside Together Organizing for Power","given":""},{"family":"First Defense Legal Aid","given":""}],"accessed":{"date-parts":[["2018",12,10]]},"issued":{"date-parts":[["2018",8,18]]}}}],"schema":"https://github.com/citation-style-language/schema/raw/master/csl-citation.json"}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BLM Chicago, Southside Together Organizing for Power, and First Defense Legal Aid, “Know Your Rights! Know Your Resources!,” Event Page and Forum, </w:t>
      </w:r>
      <w:r w:rsidRPr="001311A3">
        <w:rPr>
          <w:rFonts w:ascii="garamond" w:hAnsi="garamond" w:cs="Calibri"/>
          <w:i/>
          <w:iCs/>
        </w:rPr>
        <w:t>Facebook Events</w:t>
      </w:r>
      <w:r w:rsidRPr="001311A3">
        <w:rPr>
          <w:rFonts w:ascii="garamond" w:hAnsi="garamond" w:cs="Calibri"/>
        </w:rPr>
        <w:t>, August 18, 2018, https://www.facebook.com/events/535840626874846/?active_tab=discussion.</w:t>
      </w:r>
      <w:r w:rsidRPr="001311A3">
        <w:rPr>
          <w:rFonts w:ascii="garamond" w:hAnsi="garamond"/>
        </w:rPr>
        <w:fldChar w:fldCharType="end"/>
      </w:r>
    </w:p>
  </w:footnote>
  <w:footnote w:id="62">
    <w:p w14:paraId="557CA47B" w14:textId="3503F5C4" w:rsidR="00955A96" w:rsidRPr="001311A3" w:rsidRDefault="00955A96" w:rsidP="00955A96">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1311A3">
        <w:rPr>
          <w:rFonts w:ascii="garamond" w:hAnsi="garamond"/>
        </w:rPr>
        <w:instrText xml:space="preserve"> ADDIN ZOTERO_ITEM CSL_CITATION {"citationID":"eHl0MPRD","properties":{"formattedCitation":"Maya Dukmasova, \\uc0\\u8220{}Mental Health Advocates Are Battling Self-Proclaimed \\uc0\\u8216{}Gangster\\uc0\\u8217{} Alderman Willie Cochran over an Empty Lot,\\uc0\\u8221{} {\\i{}Chicago Reader}, August 18, 2018, https://www.chicagoreader.com/Bleader/archives/2018/08/03/mental-health-advocates-battle-gangster-ald-willie-cochran-for-empty-lot.","plainCitation":"Maya Dukmasova, “Mental Health Advocates Are Battling Self-Proclaimed ‘Gangster’ Alderman Willie Cochran over an Empty Lot,” Chicago Reader, August 18, 2018, https://www.chicagoreader.com/Bleader/archives/2018/08/03/mental-health-advocates-battle-gangster-ald-willie-cochran-for-empty-lot.","noteIndex":62},"citationItems":[{"id":12,"uris":["http://zotero.org/users/6119520/items/62AVRIXD"],"itemData":{"id":12,"type":"article-newspaper","abstract":"Organizers of a pop-up mental health services project in Woodlawn vow to fight imminent eviction.","container-title":"Chicago Reader","language":"en","title":"Mental health advocates are battling self-proclaimed ‘gangster’ alderman Willie Cochran over an empty lot","URL":"https://www.chicagoreader.com/Bleader/archives/2018/08/03/mental-health-advocates-battle-gangster-ald-willie-cochran-for-empty-lot","author":[{"family":"Dukmasova","given":"Maya"}],"accessed":{"date-parts":[["2018",11,25]]},"issued":{"date-parts":[["2018",8,18]]}}}],"schema":"https://github.com/citation-style-language/schema/raw/master/csl-citation.json"} </w:instrText>
      </w:r>
      <w:r w:rsidRPr="001311A3">
        <w:rPr>
          <w:rFonts w:ascii="garamond" w:hAnsi="garamond"/>
        </w:rPr>
        <w:fldChar w:fldCharType="separate"/>
      </w:r>
      <w:r w:rsidR="00D7102C" w:rsidRPr="001311A3">
        <w:rPr>
          <w:rFonts w:ascii="garamond" w:hAnsi="garamond" w:cs="Times New Roman"/>
        </w:rPr>
        <w:t xml:space="preserve">Maya Dukmasova, “Mental Health Advocates Are Battling Self-Proclaimed ‘Gangster’ Alderman Willie Cochran over an Empty Lot,” </w:t>
      </w:r>
      <w:r w:rsidR="00D7102C" w:rsidRPr="001311A3">
        <w:rPr>
          <w:rFonts w:ascii="garamond" w:hAnsi="garamond" w:cs="Times New Roman"/>
          <w:i/>
          <w:iCs/>
        </w:rPr>
        <w:t>Chicago Reader</w:t>
      </w:r>
      <w:r w:rsidR="00D7102C" w:rsidRPr="001311A3">
        <w:rPr>
          <w:rFonts w:ascii="garamond" w:hAnsi="garamond" w:cs="Times New Roman"/>
        </w:rPr>
        <w:t>, August 18, 2018, https://www.chicagoreader.com/Bleader/archives/2018/08/03/mental-health-advocates-battle-gangster-ald-willie-cochran-for-empty-lot.</w:t>
      </w:r>
      <w:r w:rsidRPr="001311A3">
        <w:rPr>
          <w:rFonts w:ascii="garamond" w:hAnsi="garamond"/>
        </w:rPr>
        <w:fldChar w:fldCharType="end"/>
      </w:r>
    </w:p>
  </w:footnote>
  <w:footnote w:id="63">
    <w:p w14:paraId="58DD7B72" w14:textId="69EC45B1" w:rsidR="001311A3" w:rsidRDefault="001311A3">
      <w:pPr>
        <w:pStyle w:val="FootnoteText"/>
      </w:pPr>
      <w:r>
        <w:rPr>
          <w:rStyle w:val="FootnoteReference"/>
        </w:rPr>
        <w:footnoteRef/>
      </w:r>
      <w:r>
        <w:t xml:space="preserve"> </w:t>
      </w:r>
      <w:r>
        <w:fldChar w:fldCharType="begin"/>
      </w:r>
      <w:r>
        <w:instrText xml:space="preserve"> ADDIN ZOTERO_ITEM CSL_CITATION {"citationID":"HoGmTjfW","properties":{"formattedCitation":"Kohn, {\\i{}Radical Space}.","plainCitation":"Kohn, Radical Space.","noteIndex":63},"citationItems":[{"id":1121,"uris":["http://zotero.org/users/6119520/items/XQ2P6SRQ"],"itemData":{"id":1121,"type":"book","abstract":"Historical and politicial theory investigation into communal housing projects in 20th c Italy and what they tell us about the role of space in local politics.","event-place":"Ithaca","note":"2003","publisher":"Cornell University Press","publisher-place":"Ithaca","title":"Radical Space","author":[{"family":"Kohn","given":"Margaret"}],"issued":{"date-parts":[["2003"]]}}}],"schema":"https://github.com/citation-style-language/schema/raw/master/csl-citation.json"} </w:instrText>
      </w:r>
      <w:r>
        <w:fldChar w:fldCharType="separate"/>
      </w:r>
      <w:r w:rsidRPr="001311A3">
        <w:rPr>
          <w:rFonts w:ascii="Calibri" w:cs="Calibri"/>
        </w:rPr>
        <w:t>K</w:t>
      </w:r>
      <w:r w:rsidRPr="001311A3">
        <w:rPr>
          <w:rFonts w:ascii="garamond" w:hAnsi="garamond" w:cs="Calibri"/>
        </w:rPr>
        <w:t xml:space="preserve">ohn, </w:t>
      </w:r>
      <w:r w:rsidRPr="001311A3">
        <w:rPr>
          <w:rFonts w:ascii="garamond" w:hAnsi="garamond" w:cs="Calibri"/>
          <w:i/>
          <w:iCs/>
        </w:rPr>
        <w:t>Radical Space</w:t>
      </w:r>
      <w:r w:rsidRPr="001311A3">
        <w:rPr>
          <w:rFonts w:ascii="garamond" w:hAnsi="garamond" w:cs="Calibri"/>
        </w:rPr>
        <w:t>.</w:t>
      </w:r>
      <w:r>
        <w:fldChar w:fldCharType="end"/>
      </w:r>
    </w:p>
  </w:footnote>
  <w:footnote w:id="64">
    <w:p w14:paraId="4337B638" w14:textId="77777777" w:rsidR="001311A3" w:rsidRPr="001311A3" w:rsidRDefault="001311A3" w:rsidP="001311A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{"citationID":"iWjeg2ad","properties":{"formattedCitation":"Lee Edwards, \\uc0\\u8220{}\\uc0\\u8216{}Traumatized\\uc0\\u8217{} Protesters Recount Clashes With Cops Following Shooting Of Harith Augustus,\\uc0\\u8221{} Block Club Chicago, July 16, 2018, https://blockclubchicago.org/2018/07/16/traumatized-protesters-recount-clashes-with-cops-following-shooting-of-harith-augustus/.","plainCitation":"Lee Edwards, “‘Traumatized’ Protesters Recount Clashes With Cops Following Shooting Of Harith Augustus,” Block Club Chicago, July 16, 2018, https://blockclubchicago.org/2018/07/16/traumatized-protesters-recount-clashes-with-cops-following-shooting-of-harith-augustus/.","noteIndex":64},"citationItems":[{"id":27,"uris":["http://zotero.org/users/6119520/items/Q3FPP7XS"],"itemData":{"id":27,"type":"webpage","abstract":"Sobbing in a tent among other activists, one South Shore mom said she watched police drag and beat her friend with billy clubs.","container-title":"Block Club Chicago","language":"en-US","title":"‘Traumatized’ Protesters Recount Clashes With Cops Following Shooting Of Harith Augustus","URL":"https://blockclubchicago.org/2018/07/16/traumatized-protesters-recount-clashes-with-cops-following-shooting-of-harith-augustus/","author":[{"family":"Edwards","given":"Lee"}],"accessed":{"date-parts":[["2018",12,10]]},"issued":{"date-parts":[["2018",7,16]]}}}],"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Lee Edwards, “‘Traumatized’ Protesters Recount Clashes with Cops Following Shooting </w:t>
      </w:r>
      <w:proofErr w:type="gramStart"/>
      <w:r w:rsidRPr="001311A3">
        <w:rPr>
          <w:rFonts w:ascii="garamond" w:hAnsi="garamond" w:cs="Calibri"/>
        </w:rPr>
        <w:t>Of</w:t>
      </w:r>
      <w:proofErr w:type="gramEnd"/>
      <w:r w:rsidRPr="001311A3">
        <w:rPr>
          <w:rFonts w:ascii="garamond" w:hAnsi="garamond" w:cs="Calibri"/>
        </w:rPr>
        <w:t xml:space="preserve"> Harith Augustus,” Block Club Chicago, July 16, 2018, https://blockclubchicago.org/2018/07/16/traumatized-protesters-recount-clashes-with-cops-following-shooting-of-harith-augustus/.</w:t>
      </w:r>
      <w:r w:rsidRPr="001311A3">
        <w:rPr>
          <w:rFonts w:ascii="garamond" w:hAnsi="garamond"/>
        </w:rPr>
        <w:fldChar w:fldCharType="end"/>
      </w:r>
    </w:p>
  </w:footnote>
  <w:footnote w:id="65">
    <w:p w14:paraId="4B5657E9" w14:textId="77777777" w:rsidR="001311A3" w:rsidRPr="001311A3" w:rsidRDefault="001311A3" w:rsidP="001311A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Pr="001311A3">
        <w:rPr>
          <w:rFonts w:ascii="garamond" w:hAnsi="garamond"/>
        </w:rPr>
        <w:instrText xml:space="preserve"> ADDIN ZOTERO_ITEM CSL_CITATION {"citationID":"2UVLffTV","properties":{"formattedCitation":"Ibid.; Dukmasova, \\uc0\\u8220{}Mental Health Advocates Are Battling Self-Proclaimed \\uc0\\u8216{}Gangster\\uc0\\u8217{} Alderman Willie Cochran over an Empty Lot.\\uc0\\u8221{}","plainCitation":"Ibid.; Dukmasova, “Mental Health Advocates Are Battling Self-Proclaimed ‘Gangster’ Alderman Willie Cochran over an Empty Lot.”","noteIndex":65},"citationItems":[{"id":27,"uris":["http://zotero.org/users/6119520/items/Q3FPP7XS"],"itemData":{"id":27,"type":"webpage","abstract":"Sobbing in a tent among other activists, one South Shore mom said she watched police drag and beat her friend with billy clubs.","container-title":"Block Club Chicago","language":"en-US","title":"‘Traumatized’ Protesters Recount Clashes With Cops Following Shooting Of Harith Augustus","URL":"https://blockclubchicago.org/2018/07/16/traumatized-protesters-recount-clashes-with-cops-following-shooting-of-harith-augustus/","author":[{"family":"Edwards","given":"Lee"}],"accessed":{"date-parts":[["2018",12,10]]},"issued":{"date-parts":[["2018",7,16]]}}},{"id":12,"uris":["http://zotero.org/users/6119520/items/62AVRIXD"],"itemData":{"id":12,"type":"article-newspaper","abstract":"Organizers of a pop-up mental health services project in Woodlawn vow to fight imminent eviction.","container-title":"Chicago Reader","language":"en","title":"Mental health advocates are battling self-proclaimed ‘gangster’ alderman Willie Cochran over an empty lot","URL":"https://www.chicagoreader.com/Bleader/archives/2018/08/03/mental-health-advocates-battle-gangster-ald-willie-cochran-for-empty-lot","author":[{"family":"Dukmasova","given":"Maya"}],"accessed":{"date-parts":[["2018",11,25]]},"issued":{"date-parts":[["2018",8,18]]}}}],"schema":"https://github.com/citation-style-language/schema/raw/master/csl-citation.json"} </w:instrText>
      </w:r>
      <w:r w:rsidRPr="001311A3">
        <w:rPr>
          <w:rFonts w:ascii="garamond" w:hAnsi="garamond"/>
        </w:rPr>
        <w:fldChar w:fldCharType="separate"/>
      </w:r>
      <w:proofErr w:type="gramStart"/>
      <w:r w:rsidRPr="001311A3">
        <w:rPr>
          <w:rFonts w:ascii="garamond" w:hAnsi="garamond" w:cs="Times New Roman"/>
        </w:rPr>
        <w:t>Ibid.;</w:t>
      </w:r>
      <w:proofErr w:type="gramEnd"/>
      <w:r w:rsidRPr="001311A3">
        <w:rPr>
          <w:rFonts w:ascii="garamond" w:hAnsi="garamond" w:cs="Times New Roman"/>
        </w:rPr>
        <w:t xml:space="preserve"> Dukmasova, “Mental Health Advocates Are Battling Self-Proclaimed ‘Gangster’ Alderman Willie Cochran over an Empty Lot.”</w:t>
      </w:r>
      <w:r w:rsidRPr="001311A3">
        <w:rPr>
          <w:rFonts w:ascii="garamond" w:hAnsi="garamond"/>
        </w:rPr>
        <w:fldChar w:fldCharType="end"/>
      </w:r>
    </w:p>
  </w:footnote>
  <w:footnote w:id="66">
    <w:p w14:paraId="021F68A3" w14:textId="4191DE5E" w:rsidR="00805CED" w:rsidRPr="001311A3" w:rsidRDefault="00805CED" w:rsidP="00805CE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{"citationID":"GbM4lBQ8","properties":{"formattedCitation":"Heather Cherone, \\uc0\\u8220{}Ald. Willie Cochran Pleads Guilty, Becomes 30th Alderman Convicted Of Corruption Since 1973,\\uc0\\u8221{} Block Club Chicago, March 21, 2019, https://blockclubchicago.org/2019/03/21/ald-willie-cochran-scheduled-again-to-plead-guilty-set-to-become-30th-alderman-convicted-of-corruption-since-1973/.","plainCitation":"Heather Cherone, “Ald. Willie Cochran Pleads Guilty, Becomes 30th Alderman Convicted Of Corruption Since 1973,” Block Club Chicago, March 21, 2019, https://blockclubchicago.org/2019/03/21/ald-willie-cochran-scheduled-again-to-plead-guilty-set-to-become-30th-alderman-convicted-of-corruption-since-1973/.","noteIndex":58},"citationItems":[{"id":4975,"uris":["http://zotero.org/users/6119520/items/YJ2BW9ZH"],"itemData":{"id":4975,"type":"webpage","abstract":"Cochran said he planned to resign as alderman in advance of his scheduled court appearance Thursday morning, but that hasn't happened yet.","container-title":"Block Club Chicago","language":"en","title":"Ald. Willie Cochran Pleads Guilty, Becomes 30th Alderman Convicted Of Corruption Since 1973","URL":"https://blockclubchicago.org/2019/03/21/ald-willie-cochran-scheduled-again-to-plead-guilty-set-to-become-30th-alderman-convicted-of-corruption-since-1973/","author":[{"family":"Cherone","given":"Heather"}],"accessed":{"date-parts":[["2022",9,26]]},"issued":{"date-parts":[["2019",3,21]]}}}],"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Heather Cherone, “Ald. Willie Cochran Pleads Guilty, </w:t>
      </w:r>
      <w:proofErr w:type="gramStart"/>
      <w:r w:rsidRPr="001311A3">
        <w:rPr>
          <w:rFonts w:ascii="garamond" w:hAnsi="garamond" w:cs="Calibri"/>
        </w:rPr>
        <w:t>Becomes</w:t>
      </w:r>
      <w:proofErr w:type="gramEnd"/>
      <w:r w:rsidRPr="001311A3">
        <w:rPr>
          <w:rFonts w:ascii="garamond" w:hAnsi="garamond" w:cs="Calibri"/>
        </w:rPr>
        <w:t xml:space="preserve"> 30th Alderman Convicted Of Corruption Since 1973,” Block Club Chicago, March 21, 2019, https://blockclubchicago.org/2019/03/21/ald-willie-cochran-scheduled-again-to-plead-guilty-set-to-become-30th-alderman-convicted-of-corruption-since-1973/.</w:t>
      </w:r>
      <w:r w:rsidRPr="001311A3">
        <w:rPr>
          <w:rFonts w:ascii="garamond" w:hAnsi="garamond"/>
        </w:rPr>
        <w:fldChar w:fldCharType="end"/>
      </w:r>
    </w:p>
  </w:footnote>
  <w:footnote w:id="67">
    <w:p w14:paraId="09FDD942" w14:textId="6F795A8A" w:rsidR="00805CED" w:rsidRPr="001311A3" w:rsidRDefault="00805CED" w:rsidP="00805CE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2503C" w:rsidRPr="001311A3">
        <w:rPr>
          <w:rFonts w:ascii="garamond" w:hAnsi="garamond"/>
        </w:rPr>
        <w:instrText xml:space="preserve"> ADDIN ZOTERO_ITEM CSL_CITATION {"citationID":"VumACwSD","properties":{"formattedCitation":"Lee Edwards, \\uc0\\u8220{}Woodlawn\\uc0\\u8217{}s \\uc0\\u8216{}Healing Village\\uc0\\u8217{} Faces Eviction After Ald. Cochran Changes His Tune, Organizers Say,\\uc0\\u8221{} {\\i{}Block Club Chicago}, August 2, 2018, https://blockclubchicago.org/2018/08/02/woodlawns-healing-village-faces-eviction-after-ald-cochran-changes-his-tune-organizers-say/.","plainCitation":"Lee Edwards, “Woodlawn’s ‘Healing Village’ Faces Eviction After Ald. Cochran Changes His Tune, Organizers Say,” Block Club Chicago, August 2, 2018, https://blockclubchicago.org/2018/08/02/woodlawns-healing-village-faces-eviction-after-ald-cochran-changes-his-tune-organizers-say/.","noteIndex":67},"citationItems":[{"id":4594,"uris":["http://zotero.org/users/6119520/items/YQRSGL3B"],"itemData":{"id":4594,"type":"article-newspaper","container-title":"Block Club Chicago","title":"Woodlawn's 'Healing Village' Faces Eviction After Ald. Cochran Changes His Tune, Organizers Say","URL":"https://blockclubchicago.org/2018/08/02/woodlawns-healing-village-faces-eviction-after-ald-cochran-changes-his-tune-organizers-say/","author":[{"family":"Edwards","given":"Lee"}],"accessed":{"date-parts":[["2022",8,9]]},"issued":{"date-parts":[["2018",8,2]]}}}],"schema":"https://github.com/citation-style-language/schema/raw/master/csl-citation.json"} </w:instrText>
      </w:r>
      <w:r w:rsidRPr="001311A3">
        <w:rPr>
          <w:rFonts w:ascii="garamond" w:hAnsi="garamond"/>
        </w:rPr>
        <w:fldChar w:fldCharType="separate"/>
      </w:r>
      <w:r w:rsidRPr="001311A3">
        <w:rPr>
          <w:rFonts w:ascii="garamond" w:hAnsi="garamond" w:cs="Times New Roman"/>
        </w:rPr>
        <w:t xml:space="preserve">Lee Edwards, “Woodlawn’s ‘Healing Village’ Faces Eviction After Ald. Cochran Changes His Tune, Organizers Say,” </w:t>
      </w:r>
      <w:r w:rsidRPr="001311A3">
        <w:rPr>
          <w:rFonts w:ascii="garamond" w:hAnsi="garamond" w:cs="Times New Roman"/>
          <w:i/>
          <w:iCs/>
        </w:rPr>
        <w:t>Block Club Chicago</w:t>
      </w:r>
      <w:r w:rsidRPr="001311A3">
        <w:rPr>
          <w:rFonts w:ascii="garamond" w:hAnsi="garamond" w:cs="Times New Roman"/>
        </w:rPr>
        <w:t>, August 2, 2018, https://blockclubchicago.org/2018/08/02/woodlawns-healing-village-faces-eviction-after-ald-cochran-changes-his-tune-organizers-say/.</w:t>
      </w:r>
      <w:r w:rsidRPr="001311A3">
        <w:rPr>
          <w:rFonts w:ascii="garamond" w:hAnsi="garamond"/>
        </w:rPr>
        <w:fldChar w:fldCharType="end"/>
      </w:r>
    </w:p>
  </w:footnote>
  <w:footnote w:id="68">
    <w:p w14:paraId="6A847A9D" w14:textId="799CF963" w:rsidR="00805CED" w:rsidRPr="001311A3" w:rsidRDefault="00805CED" w:rsidP="00805CE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2503C" w:rsidRPr="001311A3">
        <w:rPr>
          <w:rFonts w:ascii="garamond" w:hAnsi="garamond"/>
        </w:rPr>
        <w:instrText xml:space="preserve"> ADDIN ZOTERO_ITEM CSL_CITATION {"citationID":"2JqdDFoQ","properties":{"formattedCitation":"Ibid.","plainCitation":"Ibid.","noteIndex":68},"citationItems":[{"id":4594,"uris":["http://zotero.org/users/6119520/items/YQRSGL3B"],"itemData":{"id":4594,"type":"article-newspaper","container-title":"Block Club Chicago","title":"Woodlawn's 'Healing Village' Faces Eviction After Ald. Cochran Changes His Tune, Organizers Say","URL":"https://blockclubchicago.org/2018/08/02/woodlawns-healing-village-faces-eviction-after-ald-cochran-changes-his-tune-organizers-say/","author":[{"family":"Edwards","given":"Lee"}],"accessed":{"date-parts":[["2022",8,9]]},"issued":{"date-parts":[["2018",8,2]]}}}],"schema":"https://github.com/citation-style-language/schema/raw/master/csl-citation.json"} </w:instrText>
      </w:r>
      <w:r w:rsidRPr="001311A3">
        <w:rPr>
          <w:rFonts w:ascii="garamond" w:hAnsi="garamond"/>
        </w:rPr>
        <w:fldChar w:fldCharType="separate"/>
      </w:r>
      <w:r w:rsidRPr="001311A3">
        <w:rPr>
          <w:rFonts w:ascii="garamond" w:hAnsi="garamond"/>
          <w:noProof/>
        </w:rPr>
        <w:t>Ibid.</w:t>
      </w:r>
      <w:r w:rsidRPr="001311A3">
        <w:rPr>
          <w:rFonts w:ascii="garamond" w:hAnsi="garamond"/>
        </w:rPr>
        <w:fldChar w:fldCharType="end"/>
      </w:r>
    </w:p>
  </w:footnote>
  <w:footnote w:id="69">
    <w:p w14:paraId="7760CE5C" w14:textId="108562BD" w:rsidR="00805CED" w:rsidRPr="001311A3" w:rsidRDefault="00805CED" w:rsidP="00805CED">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{"citationID":"Au43LR8m","properties":{"formattedCitation":"Arturo Carrillo and Lisa Salazar, Interview with Collaborative for Community Wellness, interview by Celia Eckert, Zoom, September 1, 2022.","plainCitation":"Arturo Carrillo and Lisa Salazar, Interview with Collaborative for Community Wellness, interview by Celia Eckert, Zoom, September 1, 2022.","noteIndex":61},"citationItems":[{"id":4830,"uris":["http://zotero.org/users/6119520/items/JIRNPBT3"],"itemData":{"id":4830,"type":"interview","medium":"Zoom","title":"Interview with Collaborative for Community Wellness","title-short":"CCW Interview","author":[{"family":"Carrillo","given":"Arturo"},{"family":"Salazar","given":"Lisa"}],"interviewer":[{"family":"Eckert","given":"Celia"}],"issued":{"date-parts":[["2022",9,1]]}}}],"schema":"https://github.com/citation-style-language/schema/raw/master/csl-citation.json"} </w:instrText>
      </w:r>
      <w:r w:rsidRPr="001311A3">
        <w:rPr>
          <w:rFonts w:ascii="garamond" w:hAnsi="garamond"/>
        </w:rPr>
        <w:fldChar w:fldCharType="separate"/>
      </w:r>
      <w:r w:rsidRPr="001311A3">
        <w:rPr>
          <w:rFonts w:ascii="garamond" w:hAnsi="garamond"/>
          <w:noProof/>
        </w:rPr>
        <w:t>Arturo Carrillo and Lisa Salazar, Interview with Collaborative for Community Wellness, interview by Celia Eckert, Zoom, September 1, 2022.</w:t>
      </w:r>
      <w:r w:rsidRPr="001311A3">
        <w:rPr>
          <w:rFonts w:ascii="garamond" w:hAnsi="garamond"/>
        </w:rPr>
        <w:fldChar w:fldCharType="end"/>
      </w:r>
    </w:p>
  </w:footnote>
  <w:footnote w:id="70">
    <w:p w14:paraId="7F45D3E0" w14:textId="220C02A7" w:rsidR="00DA557B" w:rsidRPr="001311A3" w:rsidRDefault="00DA557B" w:rsidP="000E779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00FE4644" w:rsidRPr="001311A3">
        <w:rPr>
          <w:rFonts w:ascii="garamond" w:hAnsi="garamond"/>
        </w:rPr>
        <w:t>The assault on the Capitol on January 6</w:t>
      </w:r>
      <w:r w:rsidR="00FE4644" w:rsidRPr="001311A3">
        <w:rPr>
          <w:rFonts w:ascii="garamond" w:hAnsi="garamond"/>
          <w:vertAlign w:val="superscript"/>
        </w:rPr>
        <w:t>th</w:t>
      </w:r>
      <w:r w:rsidR="00FE4644" w:rsidRPr="001311A3">
        <w:rPr>
          <w:rFonts w:ascii="garamond" w:hAnsi="garamond"/>
        </w:rPr>
        <w:t xml:space="preserve"> could be considered an example. </w:t>
      </w:r>
      <w:r w:rsidRPr="001311A3">
        <w:rPr>
          <w:rFonts w:ascii="garamond" w:hAnsi="garamond"/>
        </w:rPr>
        <w:t xml:space="preserve">However, it’s worth noting that the transient nature of temporary occupations better suits political agendas of decentralization and flexibility than those of hierarchy and rigidity. </w:t>
      </w:r>
    </w:p>
  </w:footnote>
  <w:footnote w:id="71">
    <w:p w14:paraId="234146A6" w14:textId="24D540D8" w:rsidR="007177FF" w:rsidRPr="001311A3" w:rsidRDefault="007177FF">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{"citationID":"iKWrrTOp","properties":{"formattedCitation":"Richard Rothstein, {\\i{}The Color of Law: A Forgotten History of How Our Government Segregated America} (New York: Liveright Publishing Corporation, 2017).","plainCitation":"Richard Rothstein, The Color of Law: A Forgotten History of How Our Government Segregated America (New York: Liveright Publishing Corporation, 2017).","noteIndex":63},"citationItems":[{"id":1206,"uris":["http://zotero.org/users/6119520/items/YJNVQZS4"],"itemData":{"id":1206,"type":"book","event-place":"New York","publisher":"Liveright Publishing Corporation","publisher-place":"New York","title":"The Color of Law: A forgotten history of how our government segregated America","author":[{"family":"Rothstein","given":"Richard"}],"issued":{"date-parts":[["2017"]]}}}],"schema":"https://github.com/citation-style-language/schema/raw/master/csl-citation.json"}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Richard Rothstein, </w:t>
      </w:r>
      <w:r w:rsidRPr="001311A3">
        <w:rPr>
          <w:rFonts w:ascii="garamond" w:hAnsi="garamond" w:cs="Calibri"/>
          <w:i/>
          <w:iCs/>
        </w:rPr>
        <w:t>The Color of Law: A Forgotten History of How Our Government Segregated America</w:t>
      </w:r>
      <w:r w:rsidRPr="001311A3">
        <w:rPr>
          <w:rFonts w:ascii="garamond" w:hAnsi="garamond" w:cs="Calibri"/>
        </w:rPr>
        <w:t xml:space="preserve"> (New York: Liveright Publishing Corporation, 2017).</w:t>
      </w:r>
      <w:r w:rsidRPr="001311A3">
        <w:rPr>
          <w:rFonts w:ascii="garamond" w:hAnsi="garamond"/>
        </w:rPr>
        <w:fldChar w:fldCharType="end"/>
      </w:r>
    </w:p>
  </w:footnote>
  <w:footnote w:id="72">
    <w:p w14:paraId="77E7E170" w14:textId="3C62F87B" w:rsidR="00ED4167" w:rsidRPr="001311A3" w:rsidRDefault="00ED4167">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E2503C" w:rsidRPr="001311A3">
        <w:rPr>
          <w:rFonts w:ascii="garamond" w:hAnsi="garamond"/>
        </w:rPr>
        <w:instrText xml:space="preserve"> ADDIN ZOTERO_ITEM CSL_CITATION {"citationID":"Cu20ezQO","properties":{"formattedCitation":"Hayward, {\\i{}How Americans Make Race: Stories, Institutions, Spaces}.","plainCitation":"Hayward, How Americans Make Race: Stories, Institutions, Spaces.","noteIndex":72},"citationItems":[{"id":1607,"uris":["http://zotero.org/users/6119520/items/TJ5KZUPL"],"itemData":{"id":1607,"type":"book","event-place":"New York","note":"2013","publisher":"Cambridge University Press","publisher-place":"New York","title":"How Americans Make Race: Stories, Institutions, Spaces","author":[{"family":"Hayward","given":"Clarissa Rile"}],"issued":{"date-parts":[["2013"]]}}}],"schema":"https://github.com/citation-style-language/schema/raw/master/csl-citation.json"}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Hayward, </w:t>
      </w:r>
      <w:r w:rsidRPr="001311A3">
        <w:rPr>
          <w:rFonts w:ascii="garamond" w:hAnsi="garamond" w:cs="Calibri"/>
          <w:i/>
          <w:iCs/>
        </w:rPr>
        <w:t>How Americans Make Race: Stories, Institutions, Spaces</w:t>
      </w:r>
      <w:r w:rsidRPr="001311A3">
        <w:rPr>
          <w:rFonts w:ascii="garamond" w:hAnsi="garamond" w:cs="Calibri"/>
        </w:rPr>
        <w:t>.</w:t>
      </w:r>
      <w:r w:rsidRPr="001311A3">
        <w:rPr>
          <w:rFonts w:ascii="garamond" w:hAnsi="garamond"/>
        </w:rPr>
        <w:fldChar w:fldCharType="end"/>
      </w:r>
    </w:p>
  </w:footnote>
  <w:footnote w:id="73">
    <w:p w14:paraId="0A484378" w14:textId="11210841" w:rsidR="005237C2" w:rsidRPr="001311A3" w:rsidRDefault="005237C2" w:rsidP="005237C2">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Pr="001311A3">
        <w:rPr>
          <w:rFonts w:ascii="garamond" w:hAnsi="garamond"/>
        </w:rPr>
        <w:fldChar w:fldCharType="begin"/>
      </w:r>
      <w:r w:rsidR="00BB0C6D" w:rsidRPr="001311A3">
        <w:rPr>
          <w:rFonts w:ascii="garamond" w:hAnsi="garamond"/>
        </w:rPr>
        <w:instrText xml:space="preserve"> ADDIN ZOTERO_ITEM CSL_CITATION {"citationID":"fn98X5ve","properties":{"formattedCitation":"Fredric Jameson, \\uc0\\u8220{}Is Space Political?,\\uc0\\u8221{} in {\\i{}Rethinking Architecture}, 2005, 260.","plainCitation":"Fredric Jameson, “Is Space Political?,” in Rethinking Architecture, 2005, 260.","noteIndex":65},"citationItems":[{"id":2260,"uris":["http://zotero.org/users/6119520/items/XLNAFI8S"],"itemData":{"id":2260,"type":"chapter","container-title":"Rethinking Architecture","note":"1995","title":"Is Space Political?","author":[{"family":"Jameson","given":"Fredric"}],"issued":{"date-parts":[["2005"]]}},"locator":"260","label":"page"}],"schema":"https://github.com/citation-style-language/schema/raw/master/csl-citation.json"}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Fredric Jameson, “Is Space Political?,” in </w:t>
      </w:r>
      <w:r w:rsidRPr="001311A3">
        <w:rPr>
          <w:rFonts w:ascii="garamond" w:hAnsi="garamond" w:cs="Calibri"/>
          <w:i/>
          <w:iCs/>
        </w:rPr>
        <w:t>Rethinking Architecture</w:t>
      </w:r>
      <w:r w:rsidRPr="001311A3">
        <w:rPr>
          <w:rFonts w:ascii="garamond" w:hAnsi="garamond" w:cs="Calibri"/>
        </w:rPr>
        <w:t>, 2005, 260.</w:t>
      </w:r>
      <w:r w:rsidRPr="001311A3">
        <w:rPr>
          <w:rFonts w:ascii="garamond" w:hAnsi="garamond"/>
        </w:rPr>
        <w:fldChar w:fldCharType="end"/>
      </w:r>
    </w:p>
  </w:footnote>
  <w:footnote w:id="74">
    <w:p w14:paraId="7C84D218" w14:textId="64A166A5" w:rsidR="00AD2CAB" w:rsidRPr="001311A3" w:rsidRDefault="00AD2CAB">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Pinder also writes convincingly about the reappropriation of streets as utopian experiments through creative reengagement with them such as the Situationists experimented with, using what they called psychogeography. </w:t>
      </w:r>
      <w:r w:rsidRPr="001311A3">
        <w:rPr>
          <w:rFonts w:ascii="garamond" w:hAnsi="garamond"/>
        </w:rPr>
        <w:fldChar w:fldCharType="begin"/>
      </w:r>
      <w:r w:rsidR="00BB0C6D" w:rsidRPr="001311A3">
        <w:rPr>
          <w:rFonts w:ascii="garamond" w:hAnsi="garamond"/>
        </w:rPr>
        <w:instrText xml:space="preserve"> ADDIN ZOTERO_ITEM CSL_CITATION {"citationID":"5nicXUAZ","properties":{"formattedCitation":"David Pinder, \\uc0\\u8220{}The Breath of the Possible: Everyday Utopianism and the Street in Modernist Urbanism,\\uc0\\u8221{} in {\\i{}Utopia/Dystopia}, ed. Michael D. Gordin, Helen Tilley, and Gyan Prakash (Princeton University Press, 2010), 206, https://www.degruyter.com/document/doi/10.1515/9781400834952.203/html.","plainCitation":"David Pinder, “The Breath of the Possible: Everyday Utopianism and the Street in Modernist Urbanism,” in Utopia/Dystopia, ed. Michael D. Gordin, Helen Tilley, and Gyan Prakash (Princeton University Press, 2010), 206, https://www.degruyter.com/document/doi/10.1515/9781400834952.203/html.","noteIndex":66},"citationItems":[{"id":1993,"uris":["http://zotero.org/users/6119520/items/L6ENU7WH"],"itemData":{"id":1993,"type":"chapter","container-title":"Utopia/Dystopia","ISBN":"978-1-4008-3495-2","language":"en","note":"2010","page":"203-230","publisher":"Princeton University Press","source":"DOI.org (Crossref)","title":"The Breath of the Possible: Everyday Utopianism and the Street in Modernist Urbanism","title-short":"The Breath of the Possible","URL":"https://www.degruyter.com/document/doi/10.1515/9781400834952.203/html","editor":[{"family":"Gordin","given":"Michael D."},{"family":"Tilley","given":"Helen"},{"family":"Prakash","given":"Gyan"}],"author":[{"family":"Pinder","given":"David"}],"accessed":{"date-parts":[["2021",6,28]]},"issued":{"date-parts":[["2010",12,31]]}},"locator":"206"}],"schema":"https://github.com/citation-style-language/schema/raw/master/csl-citation.json"} </w:instrText>
      </w:r>
      <w:r w:rsidRPr="001311A3">
        <w:rPr>
          <w:rFonts w:ascii="garamond" w:hAnsi="garamond"/>
        </w:rPr>
        <w:fldChar w:fldCharType="separate"/>
      </w:r>
      <w:r w:rsidRPr="001311A3">
        <w:rPr>
          <w:rFonts w:ascii="garamond" w:hAnsi="garamond" w:cs="Calibri"/>
        </w:rPr>
        <w:t xml:space="preserve">David Pinder, “The Breath of the Possible: Everyday Utopianism and the Street in Modernist Urbanism,” in </w:t>
      </w:r>
      <w:r w:rsidRPr="001311A3">
        <w:rPr>
          <w:rFonts w:ascii="garamond" w:hAnsi="garamond" w:cs="Calibri"/>
          <w:i/>
          <w:iCs/>
        </w:rPr>
        <w:t>Utopia/Dystopia</w:t>
      </w:r>
      <w:r w:rsidRPr="001311A3">
        <w:rPr>
          <w:rFonts w:ascii="garamond" w:hAnsi="garamond" w:cs="Calibri"/>
        </w:rPr>
        <w:t>, ed. Michael D. Gordin, Helen Tilley, and Gyan Prakash (Princeton University Press, 2010), 206, https://www.degruyter.com/document/doi/10.1515/9781400834952.203/html.</w:t>
      </w:r>
      <w:r w:rsidRPr="001311A3">
        <w:rPr>
          <w:rFonts w:ascii="garamond" w:hAnsi="garamond"/>
        </w:rPr>
        <w:fldChar w:fldCharType="end"/>
      </w:r>
    </w:p>
  </w:footnote>
  <w:footnote w:id="75">
    <w:p w14:paraId="67F3590F" w14:textId="7B720585" w:rsidR="00183433" w:rsidRPr="001311A3" w:rsidRDefault="00183433">
      <w:pPr>
        <w:pStyle w:val="FootnoteText"/>
        <w:rPr>
          <w:rFonts w:ascii="garamond" w:hAnsi="garamond"/>
        </w:rPr>
      </w:pPr>
      <w:r w:rsidRPr="001311A3">
        <w:rPr>
          <w:rStyle w:val="FootnoteReference"/>
          <w:rFonts w:ascii="garamond" w:hAnsi="garamond"/>
        </w:rPr>
        <w:footnoteRef/>
      </w:r>
      <w:r w:rsidRPr="001311A3">
        <w:rPr>
          <w:rFonts w:ascii="garamond" w:hAnsi="garamond"/>
        </w:rPr>
        <w:t xml:space="preserve"> </w:t>
      </w:r>
      <w:r w:rsidR="00D01DDE" w:rsidRPr="001311A3">
        <w:rPr>
          <w:rFonts w:ascii="garamond" w:hAnsi="garamond"/>
        </w:rPr>
        <w:t xml:space="preserve">Dovey? Cite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7035859"/>
      <w:docPartObj>
        <w:docPartGallery w:val="Page Numbers (Top of Page)"/>
        <w:docPartUnique/>
      </w:docPartObj>
    </w:sdtPr>
    <w:sdtContent>
      <w:p w14:paraId="29F8B601" w14:textId="3617093B" w:rsidR="00DB47F8" w:rsidRDefault="00DB47F8" w:rsidP="00F709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0D9B9" w14:textId="77777777" w:rsidR="00DB47F8" w:rsidRDefault="00DB47F8" w:rsidP="00DB47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sz w:val="20"/>
        <w:szCs w:val="20"/>
      </w:rPr>
      <w:id w:val="1574392767"/>
      <w:docPartObj>
        <w:docPartGallery w:val="Page Numbers (Top of Page)"/>
        <w:docPartUnique/>
      </w:docPartObj>
    </w:sdtPr>
    <w:sdtContent>
      <w:p w14:paraId="1AC4FD61" w14:textId="265EAE34" w:rsidR="00DB47F8" w:rsidRPr="00DB47F8" w:rsidRDefault="00DB47F8" w:rsidP="00F709B1">
        <w:pPr>
          <w:pStyle w:val="Header"/>
          <w:framePr w:wrap="none" w:vAnchor="text" w:hAnchor="margin" w:xAlign="right" w:y="1"/>
          <w:rPr>
            <w:rStyle w:val="PageNumber"/>
            <w:rFonts w:ascii="garamond" w:hAnsi="garamond"/>
            <w:sz w:val="20"/>
            <w:szCs w:val="20"/>
          </w:rPr>
        </w:pPr>
        <w:r w:rsidRPr="00DB47F8">
          <w:rPr>
            <w:rStyle w:val="PageNumber"/>
            <w:rFonts w:ascii="garamond" w:hAnsi="garamond"/>
            <w:sz w:val="20"/>
            <w:szCs w:val="20"/>
          </w:rPr>
          <w:fldChar w:fldCharType="begin"/>
        </w:r>
        <w:r w:rsidRPr="00DB47F8">
          <w:rPr>
            <w:rStyle w:val="PageNumber"/>
            <w:rFonts w:ascii="garamond" w:hAnsi="garamond"/>
            <w:sz w:val="20"/>
            <w:szCs w:val="20"/>
          </w:rPr>
          <w:instrText xml:space="preserve"> PAGE </w:instrText>
        </w:r>
        <w:r w:rsidRPr="00DB47F8">
          <w:rPr>
            <w:rStyle w:val="PageNumber"/>
            <w:rFonts w:ascii="garamond" w:hAnsi="garamond"/>
            <w:sz w:val="20"/>
            <w:szCs w:val="20"/>
          </w:rPr>
          <w:fldChar w:fldCharType="separate"/>
        </w:r>
        <w:r w:rsidRPr="00DB47F8">
          <w:rPr>
            <w:rStyle w:val="PageNumber"/>
            <w:rFonts w:ascii="garamond" w:hAnsi="garamond"/>
            <w:noProof/>
            <w:sz w:val="20"/>
            <w:szCs w:val="20"/>
          </w:rPr>
          <w:t>1</w:t>
        </w:r>
        <w:r w:rsidRPr="00DB47F8">
          <w:rPr>
            <w:rStyle w:val="PageNumber"/>
            <w:rFonts w:ascii="garamond" w:hAnsi="garamond"/>
            <w:sz w:val="20"/>
            <w:szCs w:val="20"/>
          </w:rPr>
          <w:fldChar w:fldCharType="end"/>
        </w:r>
      </w:p>
    </w:sdtContent>
  </w:sdt>
  <w:p w14:paraId="6DD195AD" w14:textId="37CE7E4A" w:rsidR="00DB47F8" w:rsidRPr="00DB47F8" w:rsidRDefault="00DB47F8" w:rsidP="00DB47F8">
    <w:pPr>
      <w:pStyle w:val="Header"/>
      <w:ind w:right="360"/>
      <w:rPr>
        <w:rFonts w:ascii="garamond" w:hAnsi="garamond"/>
        <w:i/>
        <w:iCs/>
        <w:sz w:val="20"/>
        <w:szCs w:val="20"/>
      </w:rPr>
    </w:pPr>
    <w:r w:rsidRPr="00DB47F8">
      <w:rPr>
        <w:rFonts w:ascii="garamond" w:hAnsi="garamond"/>
        <w:i/>
        <w:iCs/>
        <w:sz w:val="20"/>
        <w:szCs w:val="20"/>
      </w:rPr>
      <w:t xml:space="preserve">Draft: Please do not </w:t>
    </w:r>
    <w:r w:rsidR="00BD3665">
      <w:rPr>
        <w:rFonts w:ascii="garamond" w:hAnsi="garamond"/>
        <w:i/>
        <w:iCs/>
        <w:sz w:val="20"/>
        <w:szCs w:val="20"/>
      </w:rPr>
      <w:t>circulate</w:t>
    </w:r>
    <w:r w:rsidR="00432348">
      <w:rPr>
        <w:rFonts w:ascii="garamond" w:hAnsi="garamond"/>
        <w:i/>
        <w:iCs/>
        <w:sz w:val="20"/>
        <w:szCs w:val="20"/>
      </w:rPr>
      <w:t xml:space="preserve"> without permission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75DB9"/>
    <w:multiLevelType w:val="hybridMultilevel"/>
    <w:tmpl w:val="6B38DAE6"/>
    <w:lvl w:ilvl="0" w:tplc="25E40508">
      <w:start w:val="120"/>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301F7"/>
    <w:multiLevelType w:val="hybridMultilevel"/>
    <w:tmpl w:val="AFE8FA78"/>
    <w:lvl w:ilvl="0" w:tplc="C9EAAE92">
      <w:start w:val="2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672F6"/>
    <w:multiLevelType w:val="hybridMultilevel"/>
    <w:tmpl w:val="4F54B216"/>
    <w:lvl w:ilvl="0" w:tplc="70DAD3C8">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32FA3"/>
    <w:multiLevelType w:val="hybridMultilevel"/>
    <w:tmpl w:val="2FBA4EEE"/>
    <w:lvl w:ilvl="0" w:tplc="1F42AB26">
      <w:numFmt w:val="bullet"/>
      <w:lvlText w:val="-"/>
      <w:lvlJc w:val="left"/>
      <w:pPr>
        <w:ind w:left="600" w:hanging="360"/>
      </w:pPr>
      <w:rPr>
        <w:rFonts w:ascii="garamond" w:eastAsia="Times New Roman" w:hAnsi="garamond" w:cs="Times New Roman" w:hint="default"/>
      </w:rPr>
    </w:lvl>
    <w:lvl w:ilvl="1" w:tplc="85DE18D4">
      <w:start w:val="1"/>
      <w:numFmt w:val="bullet"/>
      <w:lvlText w:val="o"/>
      <w:lvlJc w:val="left"/>
      <w:pPr>
        <w:ind w:left="1320" w:hanging="360"/>
      </w:pPr>
      <w:rPr>
        <w:rFonts w:ascii="Courier New" w:hAnsi="Courier New" w:cs="Courier New" w:hint="default"/>
        <w:strike w:val="0"/>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6A883471"/>
    <w:multiLevelType w:val="hybridMultilevel"/>
    <w:tmpl w:val="68D04C78"/>
    <w:lvl w:ilvl="0" w:tplc="AB0207BE">
      <w:start w:val="1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26C92"/>
    <w:multiLevelType w:val="hybridMultilevel"/>
    <w:tmpl w:val="FD5AECC6"/>
    <w:lvl w:ilvl="0" w:tplc="AB0207BE">
      <w:start w:val="1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771AB"/>
    <w:multiLevelType w:val="hybridMultilevel"/>
    <w:tmpl w:val="97B4620A"/>
    <w:lvl w:ilvl="0" w:tplc="1D7EC986">
      <w:start w:val="2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336313">
    <w:abstractNumId w:val="4"/>
  </w:num>
  <w:num w:numId="2" w16cid:durableId="914625302">
    <w:abstractNumId w:val="0"/>
  </w:num>
  <w:num w:numId="3" w16cid:durableId="281035584">
    <w:abstractNumId w:val="3"/>
  </w:num>
  <w:num w:numId="4" w16cid:durableId="1475099875">
    <w:abstractNumId w:val="1"/>
  </w:num>
  <w:num w:numId="5" w16cid:durableId="755444156">
    <w:abstractNumId w:val="5"/>
  </w:num>
  <w:num w:numId="6" w16cid:durableId="1997605197">
    <w:abstractNumId w:val="6"/>
  </w:num>
  <w:num w:numId="7" w16cid:durableId="722560140">
    <w:abstractNumId w:val="7"/>
  </w:num>
  <w:num w:numId="8" w16cid:durableId="112141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F8"/>
    <w:rsid w:val="000007AB"/>
    <w:rsid w:val="00001F34"/>
    <w:rsid w:val="00001F9E"/>
    <w:rsid w:val="00003111"/>
    <w:rsid w:val="00010F72"/>
    <w:rsid w:val="00021E52"/>
    <w:rsid w:val="00022F76"/>
    <w:rsid w:val="0002375E"/>
    <w:rsid w:val="00025D77"/>
    <w:rsid w:val="00031E99"/>
    <w:rsid w:val="00032367"/>
    <w:rsid w:val="00033751"/>
    <w:rsid w:val="00034A61"/>
    <w:rsid w:val="00035B5E"/>
    <w:rsid w:val="00036EEA"/>
    <w:rsid w:val="00040831"/>
    <w:rsid w:val="00042BC7"/>
    <w:rsid w:val="00043DCE"/>
    <w:rsid w:val="000448FE"/>
    <w:rsid w:val="00054F76"/>
    <w:rsid w:val="00055FEC"/>
    <w:rsid w:val="000564F9"/>
    <w:rsid w:val="000644DD"/>
    <w:rsid w:val="00064885"/>
    <w:rsid w:val="00064973"/>
    <w:rsid w:val="00066C48"/>
    <w:rsid w:val="0007229F"/>
    <w:rsid w:val="000736E8"/>
    <w:rsid w:val="00075FAA"/>
    <w:rsid w:val="00083492"/>
    <w:rsid w:val="0008397C"/>
    <w:rsid w:val="00083FCE"/>
    <w:rsid w:val="00084A28"/>
    <w:rsid w:val="00086914"/>
    <w:rsid w:val="000930FF"/>
    <w:rsid w:val="0009316A"/>
    <w:rsid w:val="0009401A"/>
    <w:rsid w:val="000952C3"/>
    <w:rsid w:val="00097429"/>
    <w:rsid w:val="000A318A"/>
    <w:rsid w:val="000A70B2"/>
    <w:rsid w:val="000B106A"/>
    <w:rsid w:val="000B290C"/>
    <w:rsid w:val="000C1F38"/>
    <w:rsid w:val="000C52B9"/>
    <w:rsid w:val="000C7789"/>
    <w:rsid w:val="000C788B"/>
    <w:rsid w:val="000C7CF1"/>
    <w:rsid w:val="000D063D"/>
    <w:rsid w:val="000D06B9"/>
    <w:rsid w:val="000D113B"/>
    <w:rsid w:val="000D1C48"/>
    <w:rsid w:val="000D3352"/>
    <w:rsid w:val="000D4DB6"/>
    <w:rsid w:val="000D6B8C"/>
    <w:rsid w:val="000E0050"/>
    <w:rsid w:val="000E07CE"/>
    <w:rsid w:val="000E1257"/>
    <w:rsid w:val="000E3E23"/>
    <w:rsid w:val="000E6692"/>
    <w:rsid w:val="000E7704"/>
    <w:rsid w:val="000E7793"/>
    <w:rsid w:val="000F51AF"/>
    <w:rsid w:val="000F744D"/>
    <w:rsid w:val="001023EB"/>
    <w:rsid w:val="00103972"/>
    <w:rsid w:val="001041AF"/>
    <w:rsid w:val="0010478A"/>
    <w:rsid w:val="00104A31"/>
    <w:rsid w:val="00105B21"/>
    <w:rsid w:val="00110ED5"/>
    <w:rsid w:val="001124EB"/>
    <w:rsid w:val="001127E3"/>
    <w:rsid w:val="00114BB4"/>
    <w:rsid w:val="00117390"/>
    <w:rsid w:val="00121D50"/>
    <w:rsid w:val="00122B6C"/>
    <w:rsid w:val="0012358E"/>
    <w:rsid w:val="001250E6"/>
    <w:rsid w:val="001265F6"/>
    <w:rsid w:val="00126C68"/>
    <w:rsid w:val="00127858"/>
    <w:rsid w:val="00130234"/>
    <w:rsid w:val="001311A3"/>
    <w:rsid w:val="00136540"/>
    <w:rsid w:val="0013780C"/>
    <w:rsid w:val="00141040"/>
    <w:rsid w:val="00143165"/>
    <w:rsid w:val="0014387A"/>
    <w:rsid w:val="0014509D"/>
    <w:rsid w:val="00151340"/>
    <w:rsid w:val="001532FF"/>
    <w:rsid w:val="00154ECD"/>
    <w:rsid w:val="001567BE"/>
    <w:rsid w:val="0017008C"/>
    <w:rsid w:val="00171CBA"/>
    <w:rsid w:val="001754E3"/>
    <w:rsid w:val="001754F7"/>
    <w:rsid w:val="00175C82"/>
    <w:rsid w:val="00175DC8"/>
    <w:rsid w:val="00180533"/>
    <w:rsid w:val="0018172D"/>
    <w:rsid w:val="00181BFE"/>
    <w:rsid w:val="00181F30"/>
    <w:rsid w:val="00183433"/>
    <w:rsid w:val="00195D56"/>
    <w:rsid w:val="001A2CE1"/>
    <w:rsid w:val="001A3BD0"/>
    <w:rsid w:val="001A4193"/>
    <w:rsid w:val="001A605E"/>
    <w:rsid w:val="001A6493"/>
    <w:rsid w:val="001B0278"/>
    <w:rsid w:val="001B3E3A"/>
    <w:rsid w:val="001B538F"/>
    <w:rsid w:val="001B717E"/>
    <w:rsid w:val="001C2338"/>
    <w:rsid w:val="001C4F17"/>
    <w:rsid w:val="001C5E3D"/>
    <w:rsid w:val="001C5EE7"/>
    <w:rsid w:val="001D1DD2"/>
    <w:rsid w:val="001D4343"/>
    <w:rsid w:val="001D4EE7"/>
    <w:rsid w:val="001D6AE1"/>
    <w:rsid w:val="001D6D52"/>
    <w:rsid w:val="001E0AB6"/>
    <w:rsid w:val="001E0D84"/>
    <w:rsid w:val="001E3C41"/>
    <w:rsid w:val="001E45F7"/>
    <w:rsid w:val="001E4AFB"/>
    <w:rsid w:val="001E4D63"/>
    <w:rsid w:val="001E6489"/>
    <w:rsid w:val="001E64B6"/>
    <w:rsid w:val="001F3490"/>
    <w:rsid w:val="001F586A"/>
    <w:rsid w:val="001F69DC"/>
    <w:rsid w:val="001F71B7"/>
    <w:rsid w:val="002008B7"/>
    <w:rsid w:val="00200D42"/>
    <w:rsid w:val="0020155F"/>
    <w:rsid w:val="00201ACF"/>
    <w:rsid w:val="002055CF"/>
    <w:rsid w:val="00205D70"/>
    <w:rsid w:val="00205F59"/>
    <w:rsid w:val="00207893"/>
    <w:rsid w:val="00210CC6"/>
    <w:rsid w:val="002171A2"/>
    <w:rsid w:val="00220741"/>
    <w:rsid w:val="00220C6A"/>
    <w:rsid w:val="00221D52"/>
    <w:rsid w:val="00224267"/>
    <w:rsid w:val="00225100"/>
    <w:rsid w:val="002252DE"/>
    <w:rsid w:val="00230711"/>
    <w:rsid w:val="002324A8"/>
    <w:rsid w:val="00233EB8"/>
    <w:rsid w:val="00235640"/>
    <w:rsid w:val="00235691"/>
    <w:rsid w:val="00237B51"/>
    <w:rsid w:val="00241EAE"/>
    <w:rsid w:val="00242C1E"/>
    <w:rsid w:val="00242D8F"/>
    <w:rsid w:val="00243276"/>
    <w:rsid w:val="00247FF7"/>
    <w:rsid w:val="00250395"/>
    <w:rsid w:val="002505A0"/>
    <w:rsid w:val="00251658"/>
    <w:rsid w:val="00255D65"/>
    <w:rsid w:val="00260CF1"/>
    <w:rsid w:val="00260F14"/>
    <w:rsid w:val="00261B10"/>
    <w:rsid w:val="00263B9A"/>
    <w:rsid w:val="00273097"/>
    <w:rsid w:val="00274CCE"/>
    <w:rsid w:val="002828B4"/>
    <w:rsid w:val="0028344A"/>
    <w:rsid w:val="00283FEB"/>
    <w:rsid w:val="00286272"/>
    <w:rsid w:val="002902CC"/>
    <w:rsid w:val="002910E9"/>
    <w:rsid w:val="00293208"/>
    <w:rsid w:val="0029522B"/>
    <w:rsid w:val="002A62EC"/>
    <w:rsid w:val="002A7732"/>
    <w:rsid w:val="002B2D86"/>
    <w:rsid w:val="002C0118"/>
    <w:rsid w:val="002C1CB4"/>
    <w:rsid w:val="002C21AF"/>
    <w:rsid w:val="002C270A"/>
    <w:rsid w:val="002C3932"/>
    <w:rsid w:val="002C6D23"/>
    <w:rsid w:val="002C6E48"/>
    <w:rsid w:val="002C7357"/>
    <w:rsid w:val="002D01BF"/>
    <w:rsid w:val="002D6880"/>
    <w:rsid w:val="002E010A"/>
    <w:rsid w:val="002E2E69"/>
    <w:rsid w:val="002E3CD6"/>
    <w:rsid w:val="002E56A0"/>
    <w:rsid w:val="002F0262"/>
    <w:rsid w:val="002F0F04"/>
    <w:rsid w:val="002F6EBF"/>
    <w:rsid w:val="0030024C"/>
    <w:rsid w:val="00300ECC"/>
    <w:rsid w:val="003035CC"/>
    <w:rsid w:val="0030507A"/>
    <w:rsid w:val="003063FE"/>
    <w:rsid w:val="00307A86"/>
    <w:rsid w:val="0031511E"/>
    <w:rsid w:val="00315221"/>
    <w:rsid w:val="003157BD"/>
    <w:rsid w:val="00316147"/>
    <w:rsid w:val="00320D23"/>
    <w:rsid w:val="00321543"/>
    <w:rsid w:val="003248B8"/>
    <w:rsid w:val="00331822"/>
    <w:rsid w:val="003321D4"/>
    <w:rsid w:val="00334EDA"/>
    <w:rsid w:val="00335CEB"/>
    <w:rsid w:val="00335EFC"/>
    <w:rsid w:val="0033681C"/>
    <w:rsid w:val="00340ACD"/>
    <w:rsid w:val="00341232"/>
    <w:rsid w:val="003415C5"/>
    <w:rsid w:val="00341C9B"/>
    <w:rsid w:val="003420D1"/>
    <w:rsid w:val="00344AE7"/>
    <w:rsid w:val="00344C7B"/>
    <w:rsid w:val="00345084"/>
    <w:rsid w:val="00345639"/>
    <w:rsid w:val="00347299"/>
    <w:rsid w:val="00350DD9"/>
    <w:rsid w:val="00352078"/>
    <w:rsid w:val="003532D7"/>
    <w:rsid w:val="00354CDD"/>
    <w:rsid w:val="003608DD"/>
    <w:rsid w:val="00364E3B"/>
    <w:rsid w:val="00365756"/>
    <w:rsid w:val="00366C6D"/>
    <w:rsid w:val="00371106"/>
    <w:rsid w:val="0037158F"/>
    <w:rsid w:val="00372814"/>
    <w:rsid w:val="00372EEA"/>
    <w:rsid w:val="003750DF"/>
    <w:rsid w:val="0037592B"/>
    <w:rsid w:val="0038132F"/>
    <w:rsid w:val="0038167B"/>
    <w:rsid w:val="00381688"/>
    <w:rsid w:val="00382719"/>
    <w:rsid w:val="0038623A"/>
    <w:rsid w:val="00386897"/>
    <w:rsid w:val="00387BC0"/>
    <w:rsid w:val="00397BC0"/>
    <w:rsid w:val="003A0CD7"/>
    <w:rsid w:val="003A26C2"/>
    <w:rsid w:val="003A3A6E"/>
    <w:rsid w:val="003A4419"/>
    <w:rsid w:val="003A505B"/>
    <w:rsid w:val="003B0055"/>
    <w:rsid w:val="003B2408"/>
    <w:rsid w:val="003B6E0D"/>
    <w:rsid w:val="003B7A85"/>
    <w:rsid w:val="003B7B8F"/>
    <w:rsid w:val="003C011E"/>
    <w:rsid w:val="003C01B5"/>
    <w:rsid w:val="003C1B6D"/>
    <w:rsid w:val="003C33DB"/>
    <w:rsid w:val="003C3629"/>
    <w:rsid w:val="003C3ACB"/>
    <w:rsid w:val="003C3B2A"/>
    <w:rsid w:val="003C6479"/>
    <w:rsid w:val="003D2E44"/>
    <w:rsid w:val="003D359A"/>
    <w:rsid w:val="003D5B83"/>
    <w:rsid w:val="003E1FF0"/>
    <w:rsid w:val="003E68C1"/>
    <w:rsid w:val="003E7BF0"/>
    <w:rsid w:val="003F0BC1"/>
    <w:rsid w:val="003F4145"/>
    <w:rsid w:val="003F60E8"/>
    <w:rsid w:val="003F7020"/>
    <w:rsid w:val="004005E8"/>
    <w:rsid w:val="00400626"/>
    <w:rsid w:val="004030B2"/>
    <w:rsid w:val="00403E61"/>
    <w:rsid w:val="004069FC"/>
    <w:rsid w:val="004111C1"/>
    <w:rsid w:val="0041186F"/>
    <w:rsid w:val="004120CA"/>
    <w:rsid w:val="00413038"/>
    <w:rsid w:val="00415F9E"/>
    <w:rsid w:val="0042074E"/>
    <w:rsid w:val="00420B28"/>
    <w:rsid w:val="0042352F"/>
    <w:rsid w:val="00424285"/>
    <w:rsid w:val="00424ED1"/>
    <w:rsid w:val="004269BD"/>
    <w:rsid w:val="00432348"/>
    <w:rsid w:val="00435DE4"/>
    <w:rsid w:val="00437CEC"/>
    <w:rsid w:val="00442199"/>
    <w:rsid w:val="00442FDF"/>
    <w:rsid w:val="004475B5"/>
    <w:rsid w:val="00447C2A"/>
    <w:rsid w:val="00461171"/>
    <w:rsid w:val="00466D94"/>
    <w:rsid w:val="00471998"/>
    <w:rsid w:val="00472421"/>
    <w:rsid w:val="0047242C"/>
    <w:rsid w:val="0047294E"/>
    <w:rsid w:val="004839E0"/>
    <w:rsid w:val="004852B4"/>
    <w:rsid w:val="00485A82"/>
    <w:rsid w:val="0049084E"/>
    <w:rsid w:val="004956A5"/>
    <w:rsid w:val="004A0BCF"/>
    <w:rsid w:val="004A34C3"/>
    <w:rsid w:val="004A5912"/>
    <w:rsid w:val="004A6462"/>
    <w:rsid w:val="004A7886"/>
    <w:rsid w:val="004B088E"/>
    <w:rsid w:val="004B22F5"/>
    <w:rsid w:val="004B4DD9"/>
    <w:rsid w:val="004B5821"/>
    <w:rsid w:val="004B65DB"/>
    <w:rsid w:val="004B7C6D"/>
    <w:rsid w:val="004C1241"/>
    <w:rsid w:val="004C1BF8"/>
    <w:rsid w:val="004C1C56"/>
    <w:rsid w:val="004C3D32"/>
    <w:rsid w:val="004C7294"/>
    <w:rsid w:val="004D012D"/>
    <w:rsid w:val="004D1197"/>
    <w:rsid w:val="004D2982"/>
    <w:rsid w:val="004D3CB3"/>
    <w:rsid w:val="004D4C10"/>
    <w:rsid w:val="004E2CF8"/>
    <w:rsid w:val="004E3620"/>
    <w:rsid w:val="004E3AE0"/>
    <w:rsid w:val="004E4CF9"/>
    <w:rsid w:val="004E593F"/>
    <w:rsid w:val="004F2315"/>
    <w:rsid w:val="004F2858"/>
    <w:rsid w:val="004F2A6B"/>
    <w:rsid w:val="004F53F0"/>
    <w:rsid w:val="004F647C"/>
    <w:rsid w:val="004F6911"/>
    <w:rsid w:val="004F6CBC"/>
    <w:rsid w:val="00500331"/>
    <w:rsid w:val="00501875"/>
    <w:rsid w:val="005029F8"/>
    <w:rsid w:val="00503714"/>
    <w:rsid w:val="0050412F"/>
    <w:rsid w:val="00504E50"/>
    <w:rsid w:val="00506AAE"/>
    <w:rsid w:val="00507CE6"/>
    <w:rsid w:val="00507E86"/>
    <w:rsid w:val="00514572"/>
    <w:rsid w:val="005152B5"/>
    <w:rsid w:val="005158EB"/>
    <w:rsid w:val="005206EC"/>
    <w:rsid w:val="00522A77"/>
    <w:rsid w:val="005237C2"/>
    <w:rsid w:val="00524742"/>
    <w:rsid w:val="00526D77"/>
    <w:rsid w:val="005304F9"/>
    <w:rsid w:val="00532268"/>
    <w:rsid w:val="0053338A"/>
    <w:rsid w:val="00533562"/>
    <w:rsid w:val="00536514"/>
    <w:rsid w:val="00536E24"/>
    <w:rsid w:val="00541F98"/>
    <w:rsid w:val="00542C0B"/>
    <w:rsid w:val="00550482"/>
    <w:rsid w:val="00551A55"/>
    <w:rsid w:val="00552D44"/>
    <w:rsid w:val="005542B5"/>
    <w:rsid w:val="005553A7"/>
    <w:rsid w:val="005555CF"/>
    <w:rsid w:val="00555DA8"/>
    <w:rsid w:val="005569FC"/>
    <w:rsid w:val="00556DD9"/>
    <w:rsid w:val="00557BA4"/>
    <w:rsid w:val="005648E6"/>
    <w:rsid w:val="00565A3B"/>
    <w:rsid w:val="005671C4"/>
    <w:rsid w:val="005676E1"/>
    <w:rsid w:val="00570960"/>
    <w:rsid w:val="00571B21"/>
    <w:rsid w:val="00571C08"/>
    <w:rsid w:val="00572A52"/>
    <w:rsid w:val="00573803"/>
    <w:rsid w:val="00577A73"/>
    <w:rsid w:val="00577EDF"/>
    <w:rsid w:val="005806B1"/>
    <w:rsid w:val="005812CB"/>
    <w:rsid w:val="00582EE8"/>
    <w:rsid w:val="00583718"/>
    <w:rsid w:val="0058527D"/>
    <w:rsid w:val="00586A1B"/>
    <w:rsid w:val="00590DAC"/>
    <w:rsid w:val="00592C4A"/>
    <w:rsid w:val="00592C6A"/>
    <w:rsid w:val="00594214"/>
    <w:rsid w:val="0059626C"/>
    <w:rsid w:val="005975A5"/>
    <w:rsid w:val="005A1615"/>
    <w:rsid w:val="005A4258"/>
    <w:rsid w:val="005A6A7B"/>
    <w:rsid w:val="005A7E82"/>
    <w:rsid w:val="005B07A0"/>
    <w:rsid w:val="005B2BDB"/>
    <w:rsid w:val="005B358D"/>
    <w:rsid w:val="005B37BE"/>
    <w:rsid w:val="005B48F1"/>
    <w:rsid w:val="005C1691"/>
    <w:rsid w:val="005C34AE"/>
    <w:rsid w:val="005C3BE7"/>
    <w:rsid w:val="005C4580"/>
    <w:rsid w:val="005C46F8"/>
    <w:rsid w:val="005C5C5B"/>
    <w:rsid w:val="005D0008"/>
    <w:rsid w:val="005D0581"/>
    <w:rsid w:val="005D10B5"/>
    <w:rsid w:val="005D17DA"/>
    <w:rsid w:val="005D282B"/>
    <w:rsid w:val="005D4DE5"/>
    <w:rsid w:val="005D5927"/>
    <w:rsid w:val="005D665E"/>
    <w:rsid w:val="005D687E"/>
    <w:rsid w:val="005D6DEC"/>
    <w:rsid w:val="005E1F4D"/>
    <w:rsid w:val="005E5189"/>
    <w:rsid w:val="005E5AE0"/>
    <w:rsid w:val="005E633F"/>
    <w:rsid w:val="005F18CE"/>
    <w:rsid w:val="005F4C5E"/>
    <w:rsid w:val="005F6DBF"/>
    <w:rsid w:val="005F6FD4"/>
    <w:rsid w:val="006004B1"/>
    <w:rsid w:val="00603883"/>
    <w:rsid w:val="00604EF3"/>
    <w:rsid w:val="00605190"/>
    <w:rsid w:val="006058B8"/>
    <w:rsid w:val="00606BBD"/>
    <w:rsid w:val="00606FDE"/>
    <w:rsid w:val="0061058C"/>
    <w:rsid w:val="00611742"/>
    <w:rsid w:val="00615A17"/>
    <w:rsid w:val="00617166"/>
    <w:rsid w:val="006178EF"/>
    <w:rsid w:val="00617FA2"/>
    <w:rsid w:val="006213D2"/>
    <w:rsid w:val="006237E1"/>
    <w:rsid w:val="00627464"/>
    <w:rsid w:val="006306B9"/>
    <w:rsid w:val="006311B5"/>
    <w:rsid w:val="006317ED"/>
    <w:rsid w:val="00631BDD"/>
    <w:rsid w:val="00634B0C"/>
    <w:rsid w:val="006350B7"/>
    <w:rsid w:val="006352C9"/>
    <w:rsid w:val="00636F62"/>
    <w:rsid w:val="00637EF9"/>
    <w:rsid w:val="00641AEE"/>
    <w:rsid w:val="0064293D"/>
    <w:rsid w:val="00643441"/>
    <w:rsid w:val="006437CF"/>
    <w:rsid w:val="006440D9"/>
    <w:rsid w:val="00644AE6"/>
    <w:rsid w:val="00644B38"/>
    <w:rsid w:val="0064721A"/>
    <w:rsid w:val="006472D5"/>
    <w:rsid w:val="0064778B"/>
    <w:rsid w:val="00651AFD"/>
    <w:rsid w:val="0065225C"/>
    <w:rsid w:val="006552F9"/>
    <w:rsid w:val="00656A15"/>
    <w:rsid w:val="00656B08"/>
    <w:rsid w:val="00663BA6"/>
    <w:rsid w:val="00664056"/>
    <w:rsid w:val="006656B1"/>
    <w:rsid w:val="00667721"/>
    <w:rsid w:val="00667C07"/>
    <w:rsid w:val="00671B66"/>
    <w:rsid w:val="006737CC"/>
    <w:rsid w:val="006749C6"/>
    <w:rsid w:val="00674AE5"/>
    <w:rsid w:val="00674B2D"/>
    <w:rsid w:val="00675B72"/>
    <w:rsid w:val="00676B68"/>
    <w:rsid w:val="006773E8"/>
    <w:rsid w:val="00683550"/>
    <w:rsid w:val="0068384E"/>
    <w:rsid w:val="0069170D"/>
    <w:rsid w:val="006945F3"/>
    <w:rsid w:val="00694A53"/>
    <w:rsid w:val="00695BCF"/>
    <w:rsid w:val="006972E1"/>
    <w:rsid w:val="006973AC"/>
    <w:rsid w:val="006A0DC1"/>
    <w:rsid w:val="006A131D"/>
    <w:rsid w:val="006A2B83"/>
    <w:rsid w:val="006A37D1"/>
    <w:rsid w:val="006A54D2"/>
    <w:rsid w:val="006B0A92"/>
    <w:rsid w:val="006B259B"/>
    <w:rsid w:val="006B37A2"/>
    <w:rsid w:val="006B3858"/>
    <w:rsid w:val="006B3FC8"/>
    <w:rsid w:val="006B549B"/>
    <w:rsid w:val="006B6FC7"/>
    <w:rsid w:val="006C00C3"/>
    <w:rsid w:val="006C0CBF"/>
    <w:rsid w:val="006C19F5"/>
    <w:rsid w:val="006C2716"/>
    <w:rsid w:val="006C3FB6"/>
    <w:rsid w:val="006C43A0"/>
    <w:rsid w:val="006C5C68"/>
    <w:rsid w:val="006C62DA"/>
    <w:rsid w:val="006C75A9"/>
    <w:rsid w:val="006D0808"/>
    <w:rsid w:val="006D3C08"/>
    <w:rsid w:val="006D5357"/>
    <w:rsid w:val="006D604B"/>
    <w:rsid w:val="006D7E26"/>
    <w:rsid w:val="006E3695"/>
    <w:rsid w:val="006E5A78"/>
    <w:rsid w:val="006E6EB0"/>
    <w:rsid w:val="006F27DB"/>
    <w:rsid w:val="006F2D49"/>
    <w:rsid w:val="006F4C31"/>
    <w:rsid w:val="006F564C"/>
    <w:rsid w:val="006F7322"/>
    <w:rsid w:val="00700B2A"/>
    <w:rsid w:val="00700FA3"/>
    <w:rsid w:val="007010F5"/>
    <w:rsid w:val="007027D2"/>
    <w:rsid w:val="00702B7A"/>
    <w:rsid w:val="007045BB"/>
    <w:rsid w:val="00705D08"/>
    <w:rsid w:val="00711851"/>
    <w:rsid w:val="00711A81"/>
    <w:rsid w:val="007177FF"/>
    <w:rsid w:val="0071799E"/>
    <w:rsid w:val="00717F05"/>
    <w:rsid w:val="00721C73"/>
    <w:rsid w:val="00724A07"/>
    <w:rsid w:val="00724D49"/>
    <w:rsid w:val="0072550C"/>
    <w:rsid w:val="007300D2"/>
    <w:rsid w:val="0073070F"/>
    <w:rsid w:val="00731523"/>
    <w:rsid w:val="007335D0"/>
    <w:rsid w:val="007360F5"/>
    <w:rsid w:val="00737C81"/>
    <w:rsid w:val="00740608"/>
    <w:rsid w:val="00741378"/>
    <w:rsid w:val="00742556"/>
    <w:rsid w:val="007438AC"/>
    <w:rsid w:val="00743DFE"/>
    <w:rsid w:val="0074417E"/>
    <w:rsid w:val="0074508D"/>
    <w:rsid w:val="007458B0"/>
    <w:rsid w:val="00747F00"/>
    <w:rsid w:val="00750B6A"/>
    <w:rsid w:val="00750CDD"/>
    <w:rsid w:val="007513B9"/>
    <w:rsid w:val="00756A31"/>
    <w:rsid w:val="00757D26"/>
    <w:rsid w:val="00760FA2"/>
    <w:rsid w:val="007653B6"/>
    <w:rsid w:val="0076564E"/>
    <w:rsid w:val="0076574A"/>
    <w:rsid w:val="007659D6"/>
    <w:rsid w:val="00765FE5"/>
    <w:rsid w:val="00766493"/>
    <w:rsid w:val="0076707A"/>
    <w:rsid w:val="00770208"/>
    <w:rsid w:val="0077203E"/>
    <w:rsid w:val="0077221E"/>
    <w:rsid w:val="007730BC"/>
    <w:rsid w:val="00780FC0"/>
    <w:rsid w:val="007830E9"/>
    <w:rsid w:val="00783E0B"/>
    <w:rsid w:val="00784A4A"/>
    <w:rsid w:val="00786AE0"/>
    <w:rsid w:val="00792746"/>
    <w:rsid w:val="007956A5"/>
    <w:rsid w:val="00796083"/>
    <w:rsid w:val="00796E37"/>
    <w:rsid w:val="007A00D9"/>
    <w:rsid w:val="007A02F9"/>
    <w:rsid w:val="007A05AE"/>
    <w:rsid w:val="007A0C4F"/>
    <w:rsid w:val="007A6607"/>
    <w:rsid w:val="007A6E29"/>
    <w:rsid w:val="007A7321"/>
    <w:rsid w:val="007B194E"/>
    <w:rsid w:val="007B2161"/>
    <w:rsid w:val="007B495B"/>
    <w:rsid w:val="007B4D2E"/>
    <w:rsid w:val="007B50AE"/>
    <w:rsid w:val="007B65B2"/>
    <w:rsid w:val="007B7F66"/>
    <w:rsid w:val="007C2258"/>
    <w:rsid w:val="007C5B04"/>
    <w:rsid w:val="007C76BE"/>
    <w:rsid w:val="007D4765"/>
    <w:rsid w:val="007D549D"/>
    <w:rsid w:val="007D771A"/>
    <w:rsid w:val="007E0EF2"/>
    <w:rsid w:val="007E423A"/>
    <w:rsid w:val="007E4578"/>
    <w:rsid w:val="007E5C31"/>
    <w:rsid w:val="007E5E5D"/>
    <w:rsid w:val="007F0DAE"/>
    <w:rsid w:val="007F1059"/>
    <w:rsid w:val="007F1D20"/>
    <w:rsid w:val="007F42AF"/>
    <w:rsid w:val="007F6752"/>
    <w:rsid w:val="00800F66"/>
    <w:rsid w:val="00802730"/>
    <w:rsid w:val="00802C99"/>
    <w:rsid w:val="00802EA3"/>
    <w:rsid w:val="0080411F"/>
    <w:rsid w:val="008049AF"/>
    <w:rsid w:val="0080577A"/>
    <w:rsid w:val="00805B3E"/>
    <w:rsid w:val="00805CED"/>
    <w:rsid w:val="00806235"/>
    <w:rsid w:val="0081058B"/>
    <w:rsid w:val="008147E3"/>
    <w:rsid w:val="008148AF"/>
    <w:rsid w:val="00814ECC"/>
    <w:rsid w:val="00821650"/>
    <w:rsid w:val="00822896"/>
    <w:rsid w:val="00830698"/>
    <w:rsid w:val="00832886"/>
    <w:rsid w:val="00832B99"/>
    <w:rsid w:val="00834E4D"/>
    <w:rsid w:val="0083718A"/>
    <w:rsid w:val="00840427"/>
    <w:rsid w:val="00840E3F"/>
    <w:rsid w:val="008413BE"/>
    <w:rsid w:val="00841439"/>
    <w:rsid w:val="00852287"/>
    <w:rsid w:val="00852E29"/>
    <w:rsid w:val="00855E6B"/>
    <w:rsid w:val="008566C6"/>
    <w:rsid w:val="00857340"/>
    <w:rsid w:val="00857E49"/>
    <w:rsid w:val="0086280C"/>
    <w:rsid w:val="00864FD3"/>
    <w:rsid w:val="00865041"/>
    <w:rsid w:val="00866732"/>
    <w:rsid w:val="0087771A"/>
    <w:rsid w:val="008820C3"/>
    <w:rsid w:val="00882BDD"/>
    <w:rsid w:val="00884031"/>
    <w:rsid w:val="008915ED"/>
    <w:rsid w:val="008926D7"/>
    <w:rsid w:val="00894173"/>
    <w:rsid w:val="00895070"/>
    <w:rsid w:val="008A04CB"/>
    <w:rsid w:val="008A11DE"/>
    <w:rsid w:val="008A224C"/>
    <w:rsid w:val="008A5BD4"/>
    <w:rsid w:val="008B042B"/>
    <w:rsid w:val="008B437C"/>
    <w:rsid w:val="008B6BBE"/>
    <w:rsid w:val="008B7D95"/>
    <w:rsid w:val="008C312F"/>
    <w:rsid w:val="008C69CB"/>
    <w:rsid w:val="008D13FD"/>
    <w:rsid w:val="008D3015"/>
    <w:rsid w:val="008D3A85"/>
    <w:rsid w:val="008E1024"/>
    <w:rsid w:val="008E1EE9"/>
    <w:rsid w:val="008E58B4"/>
    <w:rsid w:val="008E7E88"/>
    <w:rsid w:val="008F0A6E"/>
    <w:rsid w:val="008F159E"/>
    <w:rsid w:val="008F1940"/>
    <w:rsid w:val="008F4C90"/>
    <w:rsid w:val="008F5E13"/>
    <w:rsid w:val="00900DF4"/>
    <w:rsid w:val="009014D1"/>
    <w:rsid w:val="00903220"/>
    <w:rsid w:val="009079BE"/>
    <w:rsid w:val="0091011F"/>
    <w:rsid w:val="009101D3"/>
    <w:rsid w:val="0091229A"/>
    <w:rsid w:val="00922E03"/>
    <w:rsid w:val="00922FF8"/>
    <w:rsid w:val="0092398B"/>
    <w:rsid w:val="0092622C"/>
    <w:rsid w:val="009264C7"/>
    <w:rsid w:val="00930010"/>
    <w:rsid w:val="00931B34"/>
    <w:rsid w:val="009337FB"/>
    <w:rsid w:val="009338F6"/>
    <w:rsid w:val="009339F0"/>
    <w:rsid w:val="009371C9"/>
    <w:rsid w:val="00937C93"/>
    <w:rsid w:val="009411B0"/>
    <w:rsid w:val="00942C29"/>
    <w:rsid w:val="0094403D"/>
    <w:rsid w:val="00955693"/>
    <w:rsid w:val="00955A96"/>
    <w:rsid w:val="00963829"/>
    <w:rsid w:val="0096612C"/>
    <w:rsid w:val="00966214"/>
    <w:rsid w:val="00971AF1"/>
    <w:rsid w:val="00972E75"/>
    <w:rsid w:val="00973A95"/>
    <w:rsid w:val="0097564F"/>
    <w:rsid w:val="00984200"/>
    <w:rsid w:val="00984218"/>
    <w:rsid w:val="00984446"/>
    <w:rsid w:val="009845AB"/>
    <w:rsid w:val="00985203"/>
    <w:rsid w:val="009939EA"/>
    <w:rsid w:val="00995123"/>
    <w:rsid w:val="009973A0"/>
    <w:rsid w:val="0099798C"/>
    <w:rsid w:val="009A744F"/>
    <w:rsid w:val="009A7D88"/>
    <w:rsid w:val="009B251D"/>
    <w:rsid w:val="009B5B97"/>
    <w:rsid w:val="009B66B3"/>
    <w:rsid w:val="009B6BE1"/>
    <w:rsid w:val="009B6FA7"/>
    <w:rsid w:val="009C6B37"/>
    <w:rsid w:val="009D07D8"/>
    <w:rsid w:val="009D3A6F"/>
    <w:rsid w:val="009D4058"/>
    <w:rsid w:val="009D5238"/>
    <w:rsid w:val="009D720F"/>
    <w:rsid w:val="009E43EC"/>
    <w:rsid w:val="009E4C74"/>
    <w:rsid w:val="009E5548"/>
    <w:rsid w:val="009F1471"/>
    <w:rsid w:val="009F607C"/>
    <w:rsid w:val="009F71D1"/>
    <w:rsid w:val="009F7F61"/>
    <w:rsid w:val="00A0020C"/>
    <w:rsid w:val="00A0078E"/>
    <w:rsid w:val="00A0221A"/>
    <w:rsid w:val="00A03A28"/>
    <w:rsid w:val="00A07DA9"/>
    <w:rsid w:val="00A07FB5"/>
    <w:rsid w:val="00A07FF5"/>
    <w:rsid w:val="00A10E61"/>
    <w:rsid w:val="00A168F4"/>
    <w:rsid w:val="00A1699B"/>
    <w:rsid w:val="00A16B1D"/>
    <w:rsid w:val="00A20D4A"/>
    <w:rsid w:val="00A21E56"/>
    <w:rsid w:val="00A2217B"/>
    <w:rsid w:val="00A22213"/>
    <w:rsid w:val="00A24CD6"/>
    <w:rsid w:val="00A2502F"/>
    <w:rsid w:val="00A25171"/>
    <w:rsid w:val="00A26F72"/>
    <w:rsid w:val="00A30FBB"/>
    <w:rsid w:val="00A3221C"/>
    <w:rsid w:val="00A327D6"/>
    <w:rsid w:val="00A37D49"/>
    <w:rsid w:val="00A40E6B"/>
    <w:rsid w:val="00A44AF5"/>
    <w:rsid w:val="00A46FAD"/>
    <w:rsid w:val="00A5126A"/>
    <w:rsid w:val="00A52926"/>
    <w:rsid w:val="00A52FDE"/>
    <w:rsid w:val="00A60304"/>
    <w:rsid w:val="00A62E9E"/>
    <w:rsid w:val="00A6489B"/>
    <w:rsid w:val="00A66B7C"/>
    <w:rsid w:val="00A67FD9"/>
    <w:rsid w:val="00A711E9"/>
    <w:rsid w:val="00A713B8"/>
    <w:rsid w:val="00A74E32"/>
    <w:rsid w:val="00A76BC4"/>
    <w:rsid w:val="00A77C2F"/>
    <w:rsid w:val="00A77F14"/>
    <w:rsid w:val="00A80274"/>
    <w:rsid w:val="00A80EDB"/>
    <w:rsid w:val="00A8205C"/>
    <w:rsid w:val="00A83154"/>
    <w:rsid w:val="00A84094"/>
    <w:rsid w:val="00A87CBD"/>
    <w:rsid w:val="00A87CF3"/>
    <w:rsid w:val="00A907F0"/>
    <w:rsid w:val="00A94E2E"/>
    <w:rsid w:val="00A959B4"/>
    <w:rsid w:val="00A9607A"/>
    <w:rsid w:val="00A97C0D"/>
    <w:rsid w:val="00AA1790"/>
    <w:rsid w:val="00AA2297"/>
    <w:rsid w:val="00AA2408"/>
    <w:rsid w:val="00AA2C9A"/>
    <w:rsid w:val="00AA2CD7"/>
    <w:rsid w:val="00AA2EA4"/>
    <w:rsid w:val="00AA4D2C"/>
    <w:rsid w:val="00AA545B"/>
    <w:rsid w:val="00AA70E2"/>
    <w:rsid w:val="00AB18BA"/>
    <w:rsid w:val="00AB454F"/>
    <w:rsid w:val="00AC04ED"/>
    <w:rsid w:val="00AC1D89"/>
    <w:rsid w:val="00AC4323"/>
    <w:rsid w:val="00AC5A0A"/>
    <w:rsid w:val="00AC7BFB"/>
    <w:rsid w:val="00AD236F"/>
    <w:rsid w:val="00AD2CAB"/>
    <w:rsid w:val="00AD4D0B"/>
    <w:rsid w:val="00AD528C"/>
    <w:rsid w:val="00AD58B0"/>
    <w:rsid w:val="00AE02E7"/>
    <w:rsid w:val="00AE033C"/>
    <w:rsid w:val="00AE4717"/>
    <w:rsid w:val="00AE5707"/>
    <w:rsid w:val="00AE58F1"/>
    <w:rsid w:val="00AE5D77"/>
    <w:rsid w:val="00AF01FA"/>
    <w:rsid w:val="00AF131A"/>
    <w:rsid w:val="00AF1553"/>
    <w:rsid w:val="00AF4DF9"/>
    <w:rsid w:val="00AF4E44"/>
    <w:rsid w:val="00AF6E5F"/>
    <w:rsid w:val="00AF6FD2"/>
    <w:rsid w:val="00B04590"/>
    <w:rsid w:val="00B04BA3"/>
    <w:rsid w:val="00B059FB"/>
    <w:rsid w:val="00B102A6"/>
    <w:rsid w:val="00B10F34"/>
    <w:rsid w:val="00B10FAB"/>
    <w:rsid w:val="00B13401"/>
    <w:rsid w:val="00B14988"/>
    <w:rsid w:val="00B156D4"/>
    <w:rsid w:val="00B15DE0"/>
    <w:rsid w:val="00B16002"/>
    <w:rsid w:val="00B178AF"/>
    <w:rsid w:val="00B17A3D"/>
    <w:rsid w:val="00B22833"/>
    <w:rsid w:val="00B24113"/>
    <w:rsid w:val="00B2492C"/>
    <w:rsid w:val="00B2499F"/>
    <w:rsid w:val="00B24B65"/>
    <w:rsid w:val="00B3370A"/>
    <w:rsid w:val="00B34E0D"/>
    <w:rsid w:val="00B352E5"/>
    <w:rsid w:val="00B3604E"/>
    <w:rsid w:val="00B365A8"/>
    <w:rsid w:val="00B37D20"/>
    <w:rsid w:val="00B37E00"/>
    <w:rsid w:val="00B4019B"/>
    <w:rsid w:val="00B4045D"/>
    <w:rsid w:val="00B40AB6"/>
    <w:rsid w:val="00B411CF"/>
    <w:rsid w:val="00B413DA"/>
    <w:rsid w:val="00B419D6"/>
    <w:rsid w:val="00B41E85"/>
    <w:rsid w:val="00B42508"/>
    <w:rsid w:val="00B430A8"/>
    <w:rsid w:val="00B44428"/>
    <w:rsid w:val="00B45A6D"/>
    <w:rsid w:val="00B45E26"/>
    <w:rsid w:val="00B476F8"/>
    <w:rsid w:val="00B47E7F"/>
    <w:rsid w:val="00B518CE"/>
    <w:rsid w:val="00B51E34"/>
    <w:rsid w:val="00B53738"/>
    <w:rsid w:val="00B54DBC"/>
    <w:rsid w:val="00B63B8D"/>
    <w:rsid w:val="00B665CE"/>
    <w:rsid w:val="00B672E3"/>
    <w:rsid w:val="00B70DF4"/>
    <w:rsid w:val="00B71A35"/>
    <w:rsid w:val="00B71D75"/>
    <w:rsid w:val="00B739E0"/>
    <w:rsid w:val="00B75079"/>
    <w:rsid w:val="00B75C11"/>
    <w:rsid w:val="00B82C13"/>
    <w:rsid w:val="00B843BA"/>
    <w:rsid w:val="00B85FFF"/>
    <w:rsid w:val="00B875D8"/>
    <w:rsid w:val="00B91347"/>
    <w:rsid w:val="00B920F2"/>
    <w:rsid w:val="00B9237F"/>
    <w:rsid w:val="00B95A36"/>
    <w:rsid w:val="00B95A81"/>
    <w:rsid w:val="00B973F4"/>
    <w:rsid w:val="00B974D7"/>
    <w:rsid w:val="00BA33D7"/>
    <w:rsid w:val="00BA44A0"/>
    <w:rsid w:val="00BA4FD1"/>
    <w:rsid w:val="00BA5774"/>
    <w:rsid w:val="00BB0C6D"/>
    <w:rsid w:val="00BB0FC2"/>
    <w:rsid w:val="00BB2B68"/>
    <w:rsid w:val="00BB5305"/>
    <w:rsid w:val="00BC073D"/>
    <w:rsid w:val="00BC28D0"/>
    <w:rsid w:val="00BC2D38"/>
    <w:rsid w:val="00BC702B"/>
    <w:rsid w:val="00BD3665"/>
    <w:rsid w:val="00BD3BBE"/>
    <w:rsid w:val="00BD7BFF"/>
    <w:rsid w:val="00BE15A3"/>
    <w:rsid w:val="00BE20F3"/>
    <w:rsid w:val="00BE4AC7"/>
    <w:rsid w:val="00BF06AE"/>
    <w:rsid w:val="00BF4532"/>
    <w:rsid w:val="00BF54C9"/>
    <w:rsid w:val="00BF5E14"/>
    <w:rsid w:val="00BF7F62"/>
    <w:rsid w:val="00C01AF9"/>
    <w:rsid w:val="00C03863"/>
    <w:rsid w:val="00C05C86"/>
    <w:rsid w:val="00C14B05"/>
    <w:rsid w:val="00C15C7B"/>
    <w:rsid w:val="00C15EEF"/>
    <w:rsid w:val="00C1615E"/>
    <w:rsid w:val="00C16EB8"/>
    <w:rsid w:val="00C170D2"/>
    <w:rsid w:val="00C20401"/>
    <w:rsid w:val="00C20665"/>
    <w:rsid w:val="00C20B36"/>
    <w:rsid w:val="00C22236"/>
    <w:rsid w:val="00C25CD0"/>
    <w:rsid w:val="00C26C36"/>
    <w:rsid w:val="00C27DCD"/>
    <w:rsid w:val="00C3006D"/>
    <w:rsid w:val="00C30AF7"/>
    <w:rsid w:val="00C3256A"/>
    <w:rsid w:val="00C32C90"/>
    <w:rsid w:val="00C37C40"/>
    <w:rsid w:val="00C42D6F"/>
    <w:rsid w:val="00C43DB3"/>
    <w:rsid w:val="00C440CC"/>
    <w:rsid w:val="00C45024"/>
    <w:rsid w:val="00C46FBA"/>
    <w:rsid w:val="00C506C8"/>
    <w:rsid w:val="00C5250E"/>
    <w:rsid w:val="00C52608"/>
    <w:rsid w:val="00C52C7B"/>
    <w:rsid w:val="00C569D7"/>
    <w:rsid w:val="00C56D8B"/>
    <w:rsid w:val="00C6335F"/>
    <w:rsid w:val="00C656B9"/>
    <w:rsid w:val="00C65996"/>
    <w:rsid w:val="00C662B4"/>
    <w:rsid w:val="00C671A2"/>
    <w:rsid w:val="00C70B49"/>
    <w:rsid w:val="00C70DC4"/>
    <w:rsid w:val="00C72085"/>
    <w:rsid w:val="00C72FCA"/>
    <w:rsid w:val="00C776A9"/>
    <w:rsid w:val="00C816F0"/>
    <w:rsid w:val="00C81ED6"/>
    <w:rsid w:val="00C8261B"/>
    <w:rsid w:val="00C84549"/>
    <w:rsid w:val="00C85C99"/>
    <w:rsid w:val="00C862BE"/>
    <w:rsid w:val="00C87A50"/>
    <w:rsid w:val="00C90817"/>
    <w:rsid w:val="00C910B4"/>
    <w:rsid w:val="00C92D6D"/>
    <w:rsid w:val="00C94DAF"/>
    <w:rsid w:val="00C951A5"/>
    <w:rsid w:val="00C956A7"/>
    <w:rsid w:val="00C96B82"/>
    <w:rsid w:val="00CA04AA"/>
    <w:rsid w:val="00CA15A0"/>
    <w:rsid w:val="00CA15C7"/>
    <w:rsid w:val="00CA16FC"/>
    <w:rsid w:val="00CA253A"/>
    <w:rsid w:val="00CA307C"/>
    <w:rsid w:val="00CA3FB8"/>
    <w:rsid w:val="00CA4A3C"/>
    <w:rsid w:val="00CA59AE"/>
    <w:rsid w:val="00CA75EB"/>
    <w:rsid w:val="00CB53F7"/>
    <w:rsid w:val="00CB5D61"/>
    <w:rsid w:val="00CB6971"/>
    <w:rsid w:val="00CB75D3"/>
    <w:rsid w:val="00CC75D8"/>
    <w:rsid w:val="00CD0641"/>
    <w:rsid w:val="00CD1C4D"/>
    <w:rsid w:val="00CD1E17"/>
    <w:rsid w:val="00CD252C"/>
    <w:rsid w:val="00CD5E22"/>
    <w:rsid w:val="00CD7A1E"/>
    <w:rsid w:val="00CE199D"/>
    <w:rsid w:val="00CE316E"/>
    <w:rsid w:val="00CE6976"/>
    <w:rsid w:val="00CF3C9A"/>
    <w:rsid w:val="00CF55D4"/>
    <w:rsid w:val="00CF7EAB"/>
    <w:rsid w:val="00CF7EE8"/>
    <w:rsid w:val="00D00BB2"/>
    <w:rsid w:val="00D01DDE"/>
    <w:rsid w:val="00D02096"/>
    <w:rsid w:val="00D02934"/>
    <w:rsid w:val="00D03B5E"/>
    <w:rsid w:val="00D04D29"/>
    <w:rsid w:val="00D04E3E"/>
    <w:rsid w:val="00D0724A"/>
    <w:rsid w:val="00D10928"/>
    <w:rsid w:val="00D127F4"/>
    <w:rsid w:val="00D12ECE"/>
    <w:rsid w:val="00D13E23"/>
    <w:rsid w:val="00D14FCD"/>
    <w:rsid w:val="00D15DB6"/>
    <w:rsid w:val="00D21E66"/>
    <w:rsid w:val="00D2316F"/>
    <w:rsid w:val="00D26FCE"/>
    <w:rsid w:val="00D364F9"/>
    <w:rsid w:val="00D36A76"/>
    <w:rsid w:val="00D42810"/>
    <w:rsid w:val="00D438B9"/>
    <w:rsid w:val="00D50C07"/>
    <w:rsid w:val="00D516B0"/>
    <w:rsid w:val="00D5483A"/>
    <w:rsid w:val="00D548D5"/>
    <w:rsid w:val="00D55308"/>
    <w:rsid w:val="00D5548D"/>
    <w:rsid w:val="00D55B49"/>
    <w:rsid w:val="00D56378"/>
    <w:rsid w:val="00D56FCA"/>
    <w:rsid w:val="00D61BC4"/>
    <w:rsid w:val="00D63403"/>
    <w:rsid w:val="00D64464"/>
    <w:rsid w:val="00D64AB7"/>
    <w:rsid w:val="00D67B7A"/>
    <w:rsid w:val="00D67D8B"/>
    <w:rsid w:val="00D70143"/>
    <w:rsid w:val="00D7102C"/>
    <w:rsid w:val="00D74239"/>
    <w:rsid w:val="00D7491A"/>
    <w:rsid w:val="00D778D7"/>
    <w:rsid w:val="00D8231A"/>
    <w:rsid w:val="00D85036"/>
    <w:rsid w:val="00D8767F"/>
    <w:rsid w:val="00D87F69"/>
    <w:rsid w:val="00D90CB6"/>
    <w:rsid w:val="00D95BC3"/>
    <w:rsid w:val="00D96230"/>
    <w:rsid w:val="00D97098"/>
    <w:rsid w:val="00D97F84"/>
    <w:rsid w:val="00DA557B"/>
    <w:rsid w:val="00DA687D"/>
    <w:rsid w:val="00DB2069"/>
    <w:rsid w:val="00DB47F8"/>
    <w:rsid w:val="00DB68BA"/>
    <w:rsid w:val="00DB7A3A"/>
    <w:rsid w:val="00DC0858"/>
    <w:rsid w:val="00DC3335"/>
    <w:rsid w:val="00DC71D6"/>
    <w:rsid w:val="00DC7989"/>
    <w:rsid w:val="00DD0345"/>
    <w:rsid w:val="00DE5540"/>
    <w:rsid w:val="00DF035C"/>
    <w:rsid w:val="00DF1B72"/>
    <w:rsid w:val="00DF1E5C"/>
    <w:rsid w:val="00DF2375"/>
    <w:rsid w:val="00DF3244"/>
    <w:rsid w:val="00DF6678"/>
    <w:rsid w:val="00DF7849"/>
    <w:rsid w:val="00E01811"/>
    <w:rsid w:val="00E03714"/>
    <w:rsid w:val="00E03A8D"/>
    <w:rsid w:val="00E0410F"/>
    <w:rsid w:val="00E16948"/>
    <w:rsid w:val="00E2097C"/>
    <w:rsid w:val="00E2107A"/>
    <w:rsid w:val="00E23118"/>
    <w:rsid w:val="00E2503C"/>
    <w:rsid w:val="00E2571A"/>
    <w:rsid w:val="00E263F2"/>
    <w:rsid w:val="00E265D3"/>
    <w:rsid w:val="00E26F72"/>
    <w:rsid w:val="00E30BB9"/>
    <w:rsid w:val="00E31A9B"/>
    <w:rsid w:val="00E3334D"/>
    <w:rsid w:val="00E342AF"/>
    <w:rsid w:val="00E34B3C"/>
    <w:rsid w:val="00E36732"/>
    <w:rsid w:val="00E37AE1"/>
    <w:rsid w:val="00E40D93"/>
    <w:rsid w:val="00E442F4"/>
    <w:rsid w:val="00E44386"/>
    <w:rsid w:val="00E47E35"/>
    <w:rsid w:val="00E52CA3"/>
    <w:rsid w:val="00E561C0"/>
    <w:rsid w:val="00E61854"/>
    <w:rsid w:val="00E61B47"/>
    <w:rsid w:val="00E66617"/>
    <w:rsid w:val="00E67020"/>
    <w:rsid w:val="00E73693"/>
    <w:rsid w:val="00E75761"/>
    <w:rsid w:val="00E80B20"/>
    <w:rsid w:val="00E85808"/>
    <w:rsid w:val="00E86022"/>
    <w:rsid w:val="00E8709F"/>
    <w:rsid w:val="00E95EC6"/>
    <w:rsid w:val="00E96E08"/>
    <w:rsid w:val="00EA0CED"/>
    <w:rsid w:val="00EA355A"/>
    <w:rsid w:val="00EA3FDC"/>
    <w:rsid w:val="00EA616E"/>
    <w:rsid w:val="00EA6F82"/>
    <w:rsid w:val="00EA7877"/>
    <w:rsid w:val="00EA79C4"/>
    <w:rsid w:val="00EB3913"/>
    <w:rsid w:val="00EB4361"/>
    <w:rsid w:val="00EB57D1"/>
    <w:rsid w:val="00EC28C9"/>
    <w:rsid w:val="00EC4CF0"/>
    <w:rsid w:val="00EC6222"/>
    <w:rsid w:val="00ED1FE6"/>
    <w:rsid w:val="00ED372E"/>
    <w:rsid w:val="00ED4167"/>
    <w:rsid w:val="00ED50D0"/>
    <w:rsid w:val="00ED70F3"/>
    <w:rsid w:val="00EE12BC"/>
    <w:rsid w:val="00EE1736"/>
    <w:rsid w:val="00EE3658"/>
    <w:rsid w:val="00EE52FD"/>
    <w:rsid w:val="00EE6561"/>
    <w:rsid w:val="00EF02C3"/>
    <w:rsid w:val="00EF09BC"/>
    <w:rsid w:val="00EF2A52"/>
    <w:rsid w:val="00F006EB"/>
    <w:rsid w:val="00F00898"/>
    <w:rsid w:val="00F06BD9"/>
    <w:rsid w:val="00F10977"/>
    <w:rsid w:val="00F144FF"/>
    <w:rsid w:val="00F14C5A"/>
    <w:rsid w:val="00F15460"/>
    <w:rsid w:val="00F15CE4"/>
    <w:rsid w:val="00F17078"/>
    <w:rsid w:val="00F205EB"/>
    <w:rsid w:val="00F21729"/>
    <w:rsid w:val="00F229B0"/>
    <w:rsid w:val="00F25766"/>
    <w:rsid w:val="00F26941"/>
    <w:rsid w:val="00F328E3"/>
    <w:rsid w:val="00F355CE"/>
    <w:rsid w:val="00F356A0"/>
    <w:rsid w:val="00F37720"/>
    <w:rsid w:val="00F429B9"/>
    <w:rsid w:val="00F42C42"/>
    <w:rsid w:val="00F4379A"/>
    <w:rsid w:val="00F46633"/>
    <w:rsid w:val="00F46FB4"/>
    <w:rsid w:val="00F50208"/>
    <w:rsid w:val="00F51077"/>
    <w:rsid w:val="00F51E69"/>
    <w:rsid w:val="00F545A2"/>
    <w:rsid w:val="00F54DF6"/>
    <w:rsid w:val="00F555A9"/>
    <w:rsid w:val="00F57A47"/>
    <w:rsid w:val="00F65793"/>
    <w:rsid w:val="00F70DBD"/>
    <w:rsid w:val="00F71A31"/>
    <w:rsid w:val="00F742C4"/>
    <w:rsid w:val="00F7580C"/>
    <w:rsid w:val="00F76D8F"/>
    <w:rsid w:val="00F76E72"/>
    <w:rsid w:val="00F80AD3"/>
    <w:rsid w:val="00F80E3B"/>
    <w:rsid w:val="00F81115"/>
    <w:rsid w:val="00F81217"/>
    <w:rsid w:val="00F81D62"/>
    <w:rsid w:val="00F8244C"/>
    <w:rsid w:val="00F83F89"/>
    <w:rsid w:val="00F85697"/>
    <w:rsid w:val="00F86AA7"/>
    <w:rsid w:val="00F86DF2"/>
    <w:rsid w:val="00F90126"/>
    <w:rsid w:val="00F913F8"/>
    <w:rsid w:val="00F91444"/>
    <w:rsid w:val="00F9391C"/>
    <w:rsid w:val="00F94622"/>
    <w:rsid w:val="00F94715"/>
    <w:rsid w:val="00F95BFA"/>
    <w:rsid w:val="00FA26D2"/>
    <w:rsid w:val="00FA31E0"/>
    <w:rsid w:val="00FA3825"/>
    <w:rsid w:val="00FA5993"/>
    <w:rsid w:val="00FB00C7"/>
    <w:rsid w:val="00FB1BE8"/>
    <w:rsid w:val="00FB1E8D"/>
    <w:rsid w:val="00FB5C74"/>
    <w:rsid w:val="00FC1CE5"/>
    <w:rsid w:val="00FC2C3C"/>
    <w:rsid w:val="00FC5D41"/>
    <w:rsid w:val="00FC71B6"/>
    <w:rsid w:val="00FD217D"/>
    <w:rsid w:val="00FD500F"/>
    <w:rsid w:val="00FD51E5"/>
    <w:rsid w:val="00FD6126"/>
    <w:rsid w:val="00FD716A"/>
    <w:rsid w:val="00FD749A"/>
    <w:rsid w:val="00FE2065"/>
    <w:rsid w:val="00FE2BC5"/>
    <w:rsid w:val="00FE3C15"/>
    <w:rsid w:val="00FE4644"/>
    <w:rsid w:val="00FE48DE"/>
    <w:rsid w:val="00FE781E"/>
    <w:rsid w:val="00FE7A18"/>
    <w:rsid w:val="00FF09E4"/>
    <w:rsid w:val="00FF3797"/>
    <w:rsid w:val="00FF6863"/>
    <w:rsid w:val="00FF6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D739"/>
  <w15:chartTrackingRefBased/>
  <w15:docId w15:val="{864E4992-5658-E240-8BB2-6FEED1D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0F"/>
    <w:rPr>
      <w:rFonts w:eastAsiaTheme="minorEastAsia"/>
    </w:rPr>
  </w:style>
  <w:style w:type="paragraph" w:styleId="Heading1">
    <w:name w:val="heading 1"/>
    <w:basedOn w:val="Normal"/>
    <w:next w:val="Normal"/>
    <w:link w:val="Heading1Char"/>
    <w:uiPriority w:val="9"/>
    <w:qFormat/>
    <w:rsid w:val="00C204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6F8"/>
    <w:rPr>
      <w:color w:val="0000FF"/>
      <w:u w:val="single"/>
    </w:rPr>
  </w:style>
  <w:style w:type="paragraph" w:styleId="BalloonText">
    <w:name w:val="Balloon Text"/>
    <w:basedOn w:val="Normal"/>
    <w:link w:val="BalloonTextChar"/>
    <w:uiPriority w:val="99"/>
    <w:semiHidden/>
    <w:unhideWhenUsed/>
    <w:rsid w:val="004D4C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4C10"/>
    <w:rPr>
      <w:rFonts w:ascii="Times New Roman" w:hAnsi="Times New Roman" w:cs="Times New Roman"/>
      <w:sz w:val="18"/>
      <w:szCs w:val="18"/>
    </w:rPr>
  </w:style>
  <w:style w:type="paragraph" w:styleId="ListParagraph">
    <w:name w:val="List Paragraph"/>
    <w:basedOn w:val="Normal"/>
    <w:uiPriority w:val="34"/>
    <w:qFormat/>
    <w:rsid w:val="00F54DF6"/>
    <w:pPr>
      <w:ind w:left="720"/>
      <w:contextualSpacing/>
    </w:pPr>
  </w:style>
  <w:style w:type="paragraph" w:styleId="NormalWeb">
    <w:name w:val="Normal (Web)"/>
    <w:basedOn w:val="Normal"/>
    <w:uiPriority w:val="99"/>
    <w:unhideWhenUsed/>
    <w:rsid w:val="00DB68B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F60E8"/>
    <w:rPr>
      <w:sz w:val="16"/>
      <w:szCs w:val="16"/>
    </w:rPr>
  </w:style>
  <w:style w:type="paragraph" w:styleId="CommentText">
    <w:name w:val="annotation text"/>
    <w:basedOn w:val="Normal"/>
    <w:link w:val="CommentTextChar"/>
    <w:uiPriority w:val="99"/>
    <w:unhideWhenUsed/>
    <w:rsid w:val="003F60E8"/>
    <w:rPr>
      <w:sz w:val="20"/>
      <w:szCs w:val="20"/>
    </w:rPr>
  </w:style>
  <w:style w:type="character" w:customStyle="1" w:styleId="CommentTextChar">
    <w:name w:val="Comment Text Char"/>
    <w:basedOn w:val="DefaultParagraphFont"/>
    <w:link w:val="CommentText"/>
    <w:uiPriority w:val="99"/>
    <w:rsid w:val="003F60E8"/>
    <w:rPr>
      <w:sz w:val="20"/>
      <w:szCs w:val="20"/>
    </w:rPr>
  </w:style>
  <w:style w:type="paragraph" w:styleId="CommentSubject">
    <w:name w:val="annotation subject"/>
    <w:basedOn w:val="CommentText"/>
    <w:next w:val="CommentText"/>
    <w:link w:val="CommentSubjectChar"/>
    <w:uiPriority w:val="99"/>
    <w:semiHidden/>
    <w:unhideWhenUsed/>
    <w:rsid w:val="003F60E8"/>
    <w:rPr>
      <w:b/>
      <w:bCs/>
    </w:rPr>
  </w:style>
  <w:style w:type="character" w:customStyle="1" w:styleId="CommentSubjectChar">
    <w:name w:val="Comment Subject Char"/>
    <w:basedOn w:val="CommentTextChar"/>
    <w:link w:val="CommentSubject"/>
    <w:uiPriority w:val="99"/>
    <w:semiHidden/>
    <w:rsid w:val="003F60E8"/>
    <w:rPr>
      <w:b/>
      <w:bCs/>
      <w:sz w:val="20"/>
      <w:szCs w:val="20"/>
    </w:rPr>
  </w:style>
  <w:style w:type="paragraph" w:styleId="FootnoteText">
    <w:name w:val="footnote text"/>
    <w:basedOn w:val="Normal"/>
    <w:link w:val="FootnoteTextChar"/>
    <w:uiPriority w:val="99"/>
    <w:semiHidden/>
    <w:unhideWhenUsed/>
    <w:rsid w:val="001C5E3D"/>
    <w:rPr>
      <w:sz w:val="20"/>
      <w:szCs w:val="20"/>
    </w:rPr>
  </w:style>
  <w:style w:type="character" w:customStyle="1" w:styleId="FootnoteTextChar">
    <w:name w:val="Footnote Text Char"/>
    <w:basedOn w:val="DefaultParagraphFont"/>
    <w:link w:val="FootnoteText"/>
    <w:uiPriority w:val="99"/>
    <w:semiHidden/>
    <w:rsid w:val="001C5E3D"/>
    <w:rPr>
      <w:sz w:val="20"/>
      <w:szCs w:val="20"/>
    </w:rPr>
  </w:style>
  <w:style w:type="character" w:styleId="FootnoteReference">
    <w:name w:val="footnote reference"/>
    <w:basedOn w:val="DefaultParagraphFont"/>
    <w:uiPriority w:val="99"/>
    <w:semiHidden/>
    <w:unhideWhenUsed/>
    <w:rsid w:val="001C5E3D"/>
    <w:rPr>
      <w:vertAlign w:val="superscript"/>
    </w:rPr>
  </w:style>
  <w:style w:type="character" w:styleId="EndnoteReference">
    <w:name w:val="endnote reference"/>
    <w:basedOn w:val="DefaultParagraphFont"/>
    <w:uiPriority w:val="99"/>
    <w:semiHidden/>
    <w:unhideWhenUsed/>
    <w:rsid w:val="00644AE6"/>
    <w:rPr>
      <w:vertAlign w:val="superscript"/>
    </w:rPr>
  </w:style>
  <w:style w:type="paragraph" w:styleId="Header">
    <w:name w:val="header"/>
    <w:basedOn w:val="Normal"/>
    <w:link w:val="HeaderChar"/>
    <w:uiPriority w:val="99"/>
    <w:unhideWhenUsed/>
    <w:rsid w:val="00DB47F8"/>
    <w:pPr>
      <w:tabs>
        <w:tab w:val="center" w:pos="4680"/>
        <w:tab w:val="right" w:pos="9360"/>
      </w:tabs>
    </w:pPr>
  </w:style>
  <w:style w:type="character" w:customStyle="1" w:styleId="HeaderChar">
    <w:name w:val="Header Char"/>
    <w:basedOn w:val="DefaultParagraphFont"/>
    <w:link w:val="Header"/>
    <w:uiPriority w:val="99"/>
    <w:rsid w:val="00DB47F8"/>
  </w:style>
  <w:style w:type="paragraph" w:styleId="Footer">
    <w:name w:val="footer"/>
    <w:basedOn w:val="Normal"/>
    <w:link w:val="FooterChar"/>
    <w:uiPriority w:val="99"/>
    <w:unhideWhenUsed/>
    <w:rsid w:val="00DB47F8"/>
    <w:pPr>
      <w:tabs>
        <w:tab w:val="center" w:pos="4680"/>
        <w:tab w:val="right" w:pos="9360"/>
      </w:tabs>
    </w:pPr>
  </w:style>
  <w:style w:type="character" w:customStyle="1" w:styleId="FooterChar">
    <w:name w:val="Footer Char"/>
    <w:basedOn w:val="DefaultParagraphFont"/>
    <w:link w:val="Footer"/>
    <w:uiPriority w:val="99"/>
    <w:rsid w:val="00DB47F8"/>
  </w:style>
  <w:style w:type="character" w:styleId="PageNumber">
    <w:name w:val="page number"/>
    <w:basedOn w:val="DefaultParagraphFont"/>
    <w:uiPriority w:val="99"/>
    <w:semiHidden/>
    <w:unhideWhenUsed/>
    <w:rsid w:val="00DB47F8"/>
  </w:style>
  <w:style w:type="paragraph" w:styleId="Bibliography">
    <w:name w:val="Bibliography"/>
    <w:basedOn w:val="Normal"/>
    <w:next w:val="Normal"/>
    <w:uiPriority w:val="37"/>
    <w:unhideWhenUsed/>
    <w:rsid w:val="00B37E00"/>
    <w:pPr>
      <w:ind w:left="720" w:hanging="720"/>
    </w:pPr>
  </w:style>
  <w:style w:type="character" w:customStyle="1" w:styleId="Heading1Char">
    <w:name w:val="Heading 1 Char"/>
    <w:basedOn w:val="DefaultParagraphFont"/>
    <w:link w:val="Heading1"/>
    <w:uiPriority w:val="9"/>
    <w:rsid w:val="00C204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20401"/>
    <w:rPr>
      <w:rFonts w:eastAsiaTheme="minorEastAsia"/>
    </w:rPr>
  </w:style>
  <w:style w:type="character" w:styleId="UnresolvedMention">
    <w:name w:val="Unresolved Mention"/>
    <w:basedOn w:val="DefaultParagraphFont"/>
    <w:uiPriority w:val="99"/>
    <w:semiHidden/>
    <w:unhideWhenUsed/>
    <w:rsid w:val="004B088E"/>
    <w:rPr>
      <w:color w:val="605E5C"/>
      <w:shd w:val="clear" w:color="auto" w:fill="E1DFDD"/>
    </w:rPr>
  </w:style>
  <w:style w:type="character" w:styleId="FollowedHyperlink">
    <w:name w:val="FollowedHyperlink"/>
    <w:basedOn w:val="DefaultParagraphFont"/>
    <w:uiPriority w:val="99"/>
    <w:semiHidden/>
    <w:unhideWhenUsed/>
    <w:rsid w:val="004B08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8337">
      <w:bodyDiv w:val="1"/>
      <w:marLeft w:val="0"/>
      <w:marRight w:val="0"/>
      <w:marTop w:val="0"/>
      <w:marBottom w:val="0"/>
      <w:divBdr>
        <w:top w:val="none" w:sz="0" w:space="0" w:color="auto"/>
        <w:left w:val="none" w:sz="0" w:space="0" w:color="auto"/>
        <w:bottom w:val="none" w:sz="0" w:space="0" w:color="auto"/>
        <w:right w:val="none" w:sz="0" w:space="0" w:color="auto"/>
      </w:divBdr>
      <w:divsChild>
        <w:div w:id="62535921">
          <w:marLeft w:val="480"/>
          <w:marRight w:val="0"/>
          <w:marTop w:val="0"/>
          <w:marBottom w:val="0"/>
          <w:divBdr>
            <w:top w:val="none" w:sz="0" w:space="0" w:color="auto"/>
            <w:left w:val="none" w:sz="0" w:space="0" w:color="auto"/>
            <w:bottom w:val="none" w:sz="0" w:space="0" w:color="auto"/>
            <w:right w:val="none" w:sz="0" w:space="0" w:color="auto"/>
          </w:divBdr>
          <w:divsChild>
            <w:div w:id="4378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787">
      <w:bodyDiv w:val="1"/>
      <w:marLeft w:val="0"/>
      <w:marRight w:val="0"/>
      <w:marTop w:val="0"/>
      <w:marBottom w:val="0"/>
      <w:divBdr>
        <w:top w:val="none" w:sz="0" w:space="0" w:color="auto"/>
        <w:left w:val="none" w:sz="0" w:space="0" w:color="auto"/>
        <w:bottom w:val="none" w:sz="0" w:space="0" w:color="auto"/>
        <w:right w:val="none" w:sz="0" w:space="0" w:color="auto"/>
      </w:divBdr>
    </w:div>
    <w:div w:id="84495230">
      <w:bodyDiv w:val="1"/>
      <w:marLeft w:val="0"/>
      <w:marRight w:val="0"/>
      <w:marTop w:val="0"/>
      <w:marBottom w:val="0"/>
      <w:divBdr>
        <w:top w:val="none" w:sz="0" w:space="0" w:color="auto"/>
        <w:left w:val="none" w:sz="0" w:space="0" w:color="auto"/>
        <w:bottom w:val="none" w:sz="0" w:space="0" w:color="auto"/>
        <w:right w:val="none" w:sz="0" w:space="0" w:color="auto"/>
      </w:divBdr>
    </w:div>
    <w:div w:id="104086263">
      <w:bodyDiv w:val="1"/>
      <w:marLeft w:val="0"/>
      <w:marRight w:val="0"/>
      <w:marTop w:val="0"/>
      <w:marBottom w:val="0"/>
      <w:divBdr>
        <w:top w:val="none" w:sz="0" w:space="0" w:color="auto"/>
        <w:left w:val="none" w:sz="0" w:space="0" w:color="auto"/>
        <w:bottom w:val="none" w:sz="0" w:space="0" w:color="auto"/>
        <w:right w:val="none" w:sz="0" w:space="0" w:color="auto"/>
      </w:divBdr>
    </w:div>
    <w:div w:id="138157802">
      <w:bodyDiv w:val="1"/>
      <w:marLeft w:val="0"/>
      <w:marRight w:val="0"/>
      <w:marTop w:val="0"/>
      <w:marBottom w:val="0"/>
      <w:divBdr>
        <w:top w:val="none" w:sz="0" w:space="0" w:color="auto"/>
        <w:left w:val="none" w:sz="0" w:space="0" w:color="auto"/>
        <w:bottom w:val="none" w:sz="0" w:space="0" w:color="auto"/>
        <w:right w:val="none" w:sz="0" w:space="0" w:color="auto"/>
      </w:divBdr>
    </w:div>
    <w:div w:id="270011517">
      <w:bodyDiv w:val="1"/>
      <w:marLeft w:val="0"/>
      <w:marRight w:val="0"/>
      <w:marTop w:val="0"/>
      <w:marBottom w:val="0"/>
      <w:divBdr>
        <w:top w:val="none" w:sz="0" w:space="0" w:color="auto"/>
        <w:left w:val="none" w:sz="0" w:space="0" w:color="auto"/>
        <w:bottom w:val="none" w:sz="0" w:space="0" w:color="auto"/>
        <w:right w:val="none" w:sz="0" w:space="0" w:color="auto"/>
      </w:divBdr>
    </w:div>
    <w:div w:id="298221520">
      <w:bodyDiv w:val="1"/>
      <w:marLeft w:val="0"/>
      <w:marRight w:val="0"/>
      <w:marTop w:val="0"/>
      <w:marBottom w:val="0"/>
      <w:divBdr>
        <w:top w:val="none" w:sz="0" w:space="0" w:color="auto"/>
        <w:left w:val="none" w:sz="0" w:space="0" w:color="auto"/>
        <w:bottom w:val="none" w:sz="0" w:space="0" w:color="auto"/>
        <w:right w:val="none" w:sz="0" w:space="0" w:color="auto"/>
      </w:divBdr>
    </w:div>
    <w:div w:id="333458236">
      <w:bodyDiv w:val="1"/>
      <w:marLeft w:val="0"/>
      <w:marRight w:val="0"/>
      <w:marTop w:val="0"/>
      <w:marBottom w:val="0"/>
      <w:divBdr>
        <w:top w:val="none" w:sz="0" w:space="0" w:color="auto"/>
        <w:left w:val="none" w:sz="0" w:space="0" w:color="auto"/>
        <w:bottom w:val="none" w:sz="0" w:space="0" w:color="auto"/>
        <w:right w:val="none" w:sz="0" w:space="0" w:color="auto"/>
      </w:divBdr>
    </w:div>
    <w:div w:id="574702425">
      <w:bodyDiv w:val="1"/>
      <w:marLeft w:val="0"/>
      <w:marRight w:val="0"/>
      <w:marTop w:val="0"/>
      <w:marBottom w:val="0"/>
      <w:divBdr>
        <w:top w:val="none" w:sz="0" w:space="0" w:color="auto"/>
        <w:left w:val="none" w:sz="0" w:space="0" w:color="auto"/>
        <w:bottom w:val="none" w:sz="0" w:space="0" w:color="auto"/>
        <w:right w:val="none" w:sz="0" w:space="0" w:color="auto"/>
      </w:divBdr>
    </w:div>
    <w:div w:id="601954169">
      <w:bodyDiv w:val="1"/>
      <w:marLeft w:val="0"/>
      <w:marRight w:val="0"/>
      <w:marTop w:val="0"/>
      <w:marBottom w:val="0"/>
      <w:divBdr>
        <w:top w:val="none" w:sz="0" w:space="0" w:color="auto"/>
        <w:left w:val="none" w:sz="0" w:space="0" w:color="auto"/>
        <w:bottom w:val="none" w:sz="0" w:space="0" w:color="auto"/>
        <w:right w:val="none" w:sz="0" w:space="0" w:color="auto"/>
      </w:divBdr>
    </w:div>
    <w:div w:id="662708590">
      <w:bodyDiv w:val="1"/>
      <w:marLeft w:val="0"/>
      <w:marRight w:val="0"/>
      <w:marTop w:val="0"/>
      <w:marBottom w:val="0"/>
      <w:divBdr>
        <w:top w:val="none" w:sz="0" w:space="0" w:color="auto"/>
        <w:left w:val="none" w:sz="0" w:space="0" w:color="auto"/>
        <w:bottom w:val="none" w:sz="0" w:space="0" w:color="auto"/>
        <w:right w:val="none" w:sz="0" w:space="0" w:color="auto"/>
      </w:divBdr>
    </w:div>
    <w:div w:id="759713527">
      <w:bodyDiv w:val="1"/>
      <w:marLeft w:val="0"/>
      <w:marRight w:val="0"/>
      <w:marTop w:val="0"/>
      <w:marBottom w:val="0"/>
      <w:divBdr>
        <w:top w:val="none" w:sz="0" w:space="0" w:color="auto"/>
        <w:left w:val="none" w:sz="0" w:space="0" w:color="auto"/>
        <w:bottom w:val="none" w:sz="0" w:space="0" w:color="auto"/>
        <w:right w:val="none" w:sz="0" w:space="0" w:color="auto"/>
      </w:divBdr>
    </w:div>
    <w:div w:id="831990396">
      <w:bodyDiv w:val="1"/>
      <w:marLeft w:val="0"/>
      <w:marRight w:val="0"/>
      <w:marTop w:val="0"/>
      <w:marBottom w:val="0"/>
      <w:divBdr>
        <w:top w:val="none" w:sz="0" w:space="0" w:color="auto"/>
        <w:left w:val="none" w:sz="0" w:space="0" w:color="auto"/>
        <w:bottom w:val="none" w:sz="0" w:space="0" w:color="auto"/>
        <w:right w:val="none" w:sz="0" w:space="0" w:color="auto"/>
      </w:divBdr>
      <w:divsChild>
        <w:div w:id="88359174">
          <w:marLeft w:val="480"/>
          <w:marRight w:val="0"/>
          <w:marTop w:val="0"/>
          <w:marBottom w:val="0"/>
          <w:divBdr>
            <w:top w:val="none" w:sz="0" w:space="0" w:color="auto"/>
            <w:left w:val="none" w:sz="0" w:space="0" w:color="auto"/>
            <w:bottom w:val="none" w:sz="0" w:space="0" w:color="auto"/>
            <w:right w:val="none" w:sz="0" w:space="0" w:color="auto"/>
          </w:divBdr>
          <w:divsChild>
            <w:div w:id="252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7119">
      <w:bodyDiv w:val="1"/>
      <w:marLeft w:val="0"/>
      <w:marRight w:val="0"/>
      <w:marTop w:val="0"/>
      <w:marBottom w:val="0"/>
      <w:divBdr>
        <w:top w:val="none" w:sz="0" w:space="0" w:color="auto"/>
        <w:left w:val="none" w:sz="0" w:space="0" w:color="auto"/>
        <w:bottom w:val="none" w:sz="0" w:space="0" w:color="auto"/>
        <w:right w:val="none" w:sz="0" w:space="0" w:color="auto"/>
      </w:divBdr>
    </w:div>
    <w:div w:id="1318723505">
      <w:bodyDiv w:val="1"/>
      <w:marLeft w:val="0"/>
      <w:marRight w:val="0"/>
      <w:marTop w:val="0"/>
      <w:marBottom w:val="0"/>
      <w:divBdr>
        <w:top w:val="none" w:sz="0" w:space="0" w:color="auto"/>
        <w:left w:val="none" w:sz="0" w:space="0" w:color="auto"/>
        <w:bottom w:val="none" w:sz="0" w:space="0" w:color="auto"/>
        <w:right w:val="none" w:sz="0" w:space="0" w:color="auto"/>
      </w:divBdr>
    </w:div>
    <w:div w:id="1324621135">
      <w:bodyDiv w:val="1"/>
      <w:marLeft w:val="0"/>
      <w:marRight w:val="0"/>
      <w:marTop w:val="0"/>
      <w:marBottom w:val="0"/>
      <w:divBdr>
        <w:top w:val="none" w:sz="0" w:space="0" w:color="auto"/>
        <w:left w:val="none" w:sz="0" w:space="0" w:color="auto"/>
        <w:bottom w:val="none" w:sz="0" w:space="0" w:color="auto"/>
        <w:right w:val="none" w:sz="0" w:space="0" w:color="auto"/>
      </w:divBdr>
    </w:div>
    <w:div w:id="1438060636">
      <w:bodyDiv w:val="1"/>
      <w:marLeft w:val="0"/>
      <w:marRight w:val="0"/>
      <w:marTop w:val="0"/>
      <w:marBottom w:val="0"/>
      <w:divBdr>
        <w:top w:val="none" w:sz="0" w:space="0" w:color="auto"/>
        <w:left w:val="none" w:sz="0" w:space="0" w:color="auto"/>
        <w:bottom w:val="none" w:sz="0" w:space="0" w:color="auto"/>
        <w:right w:val="none" w:sz="0" w:space="0" w:color="auto"/>
      </w:divBdr>
    </w:div>
    <w:div w:id="1469200030">
      <w:bodyDiv w:val="1"/>
      <w:marLeft w:val="0"/>
      <w:marRight w:val="0"/>
      <w:marTop w:val="0"/>
      <w:marBottom w:val="0"/>
      <w:divBdr>
        <w:top w:val="none" w:sz="0" w:space="0" w:color="auto"/>
        <w:left w:val="none" w:sz="0" w:space="0" w:color="auto"/>
        <w:bottom w:val="none" w:sz="0" w:space="0" w:color="auto"/>
        <w:right w:val="none" w:sz="0" w:space="0" w:color="auto"/>
      </w:divBdr>
      <w:divsChild>
        <w:div w:id="1808277965">
          <w:marLeft w:val="480"/>
          <w:marRight w:val="0"/>
          <w:marTop w:val="0"/>
          <w:marBottom w:val="0"/>
          <w:divBdr>
            <w:top w:val="none" w:sz="0" w:space="0" w:color="auto"/>
            <w:left w:val="none" w:sz="0" w:space="0" w:color="auto"/>
            <w:bottom w:val="none" w:sz="0" w:space="0" w:color="auto"/>
            <w:right w:val="none" w:sz="0" w:space="0" w:color="auto"/>
          </w:divBdr>
          <w:divsChild>
            <w:div w:id="24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179">
      <w:bodyDiv w:val="1"/>
      <w:marLeft w:val="0"/>
      <w:marRight w:val="0"/>
      <w:marTop w:val="0"/>
      <w:marBottom w:val="0"/>
      <w:divBdr>
        <w:top w:val="none" w:sz="0" w:space="0" w:color="auto"/>
        <w:left w:val="none" w:sz="0" w:space="0" w:color="auto"/>
        <w:bottom w:val="none" w:sz="0" w:space="0" w:color="auto"/>
        <w:right w:val="none" w:sz="0" w:space="0" w:color="auto"/>
      </w:divBdr>
    </w:div>
    <w:div w:id="1497460255">
      <w:bodyDiv w:val="1"/>
      <w:marLeft w:val="0"/>
      <w:marRight w:val="0"/>
      <w:marTop w:val="0"/>
      <w:marBottom w:val="0"/>
      <w:divBdr>
        <w:top w:val="none" w:sz="0" w:space="0" w:color="auto"/>
        <w:left w:val="none" w:sz="0" w:space="0" w:color="auto"/>
        <w:bottom w:val="none" w:sz="0" w:space="0" w:color="auto"/>
        <w:right w:val="none" w:sz="0" w:space="0" w:color="auto"/>
      </w:divBdr>
    </w:div>
    <w:div w:id="1505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597557">
          <w:marLeft w:val="480"/>
          <w:marRight w:val="0"/>
          <w:marTop w:val="0"/>
          <w:marBottom w:val="0"/>
          <w:divBdr>
            <w:top w:val="none" w:sz="0" w:space="0" w:color="auto"/>
            <w:left w:val="none" w:sz="0" w:space="0" w:color="auto"/>
            <w:bottom w:val="none" w:sz="0" w:space="0" w:color="auto"/>
            <w:right w:val="none" w:sz="0" w:space="0" w:color="auto"/>
          </w:divBdr>
          <w:divsChild>
            <w:div w:id="18184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708">
      <w:bodyDiv w:val="1"/>
      <w:marLeft w:val="0"/>
      <w:marRight w:val="0"/>
      <w:marTop w:val="0"/>
      <w:marBottom w:val="0"/>
      <w:divBdr>
        <w:top w:val="none" w:sz="0" w:space="0" w:color="auto"/>
        <w:left w:val="none" w:sz="0" w:space="0" w:color="auto"/>
        <w:bottom w:val="none" w:sz="0" w:space="0" w:color="auto"/>
        <w:right w:val="none" w:sz="0" w:space="0" w:color="auto"/>
      </w:divBdr>
    </w:div>
    <w:div w:id="1627152845">
      <w:bodyDiv w:val="1"/>
      <w:marLeft w:val="0"/>
      <w:marRight w:val="0"/>
      <w:marTop w:val="0"/>
      <w:marBottom w:val="0"/>
      <w:divBdr>
        <w:top w:val="none" w:sz="0" w:space="0" w:color="auto"/>
        <w:left w:val="none" w:sz="0" w:space="0" w:color="auto"/>
        <w:bottom w:val="none" w:sz="0" w:space="0" w:color="auto"/>
        <w:right w:val="none" w:sz="0" w:space="0" w:color="auto"/>
      </w:divBdr>
    </w:div>
    <w:div w:id="1773628841">
      <w:bodyDiv w:val="1"/>
      <w:marLeft w:val="0"/>
      <w:marRight w:val="0"/>
      <w:marTop w:val="0"/>
      <w:marBottom w:val="0"/>
      <w:divBdr>
        <w:top w:val="none" w:sz="0" w:space="0" w:color="auto"/>
        <w:left w:val="none" w:sz="0" w:space="0" w:color="auto"/>
        <w:bottom w:val="none" w:sz="0" w:space="0" w:color="auto"/>
        <w:right w:val="none" w:sz="0" w:space="0" w:color="auto"/>
      </w:divBdr>
    </w:div>
    <w:div w:id="1774083734">
      <w:bodyDiv w:val="1"/>
      <w:marLeft w:val="0"/>
      <w:marRight w:val="0"/>
      <w:marTop w:val="0"/>
      <w:marBottom w:val="0"/>
      <w:divBdr>
        <w:top w:val="none" w:sz="0" w:space="0" w:color="auto"/>
        <w:left w:val="none" w:sz="0" w:space="0" w:color="auto"/>
        <w:bottom w:val="none" w:sz="0" w:space="0" w:color="auto"/>
        <w:right w:val="none" w:sz="0" w:space="0" w:color="auto"/>
      </w:divBdr>
    </w:div>
    <w:div w:id="1815827441">
      <w:bodyDiv w:val="1"/>
      <w:marLeft w:val="0"/>
      <w:marRight w:val="0"/>
      <w:marTop w:val="0"/>
      <w:marBottom w:val="0"/>
      <w:divBdr>
        <w:top w:val="none" w:sz="0" w:space="0" w:color="auto"/>
        <w:left w:val="none" w:sz="0" w:space="0" w:color="auto"/>
        <w:bottom w:val="none" w:sz="0" w:space="0" w:color="auto"/>
        <w:right w:val="none" w:sz="0" w:space="0" w:color="auto"/>
      </w:divBdr>
    </w:div>
    <w:div w:id="1816680992">
      <w:bodyDiv w:val="1"/>
      <w:marLeft w:val="0"/>
      <w:marRight w:val="0"/>
      <w:marTop w:val="0"/>
      <w:marBottom w:val="0"/>
      <w:divBdr>
        <w:top w:val="none" w:sz="0" w:space="0" w:color="auto"/>
        <w:left w:val="none" w:sz="0" w:space="0" w:color="auto"/>
        <w:bottom w:val="none" w:sz="0" w:space="0" w:color="auto"/>
        <w:right w:val="none" w:sz="0" w:space="0" w:color="auto"/>
      </w:divBdr>
      <w:divsChild>
        <w:div w:id="1463571878">
          <w:marLeft w:val="480"/>
          <w:marRight w:val="0"/>
          <w:marTop w:val="0"/>
          <w:marBottom w:val="0"/>
          <w:divBdr>
            <w:top w:val="none" w:sz="0" w:space="0" w:color="auto"/>
            <w:left w:val="none" w:sz="0" w:space="0" w:color="auto"/>
            <w:bottom w:val="none" w:sz="0" w:space="0" w:color="auto"/>
            <w:right w:val="none" w:sz="0" w:space="0" w:color="auto"/>
          </w:divBdr>
          <w:divsChild>
            <w:div w:id="14488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6083">
      <w:bodyDiv w:val="1"/>
      <w:marLeft w:val="0"/>
      <w:marRight w:val="0"/>
      <w:marTop w:val="0"/>
      <w:marBottom w:val="0"/>
      <w:divBdr>
        <w:top w:val="none" w:sz="0" w:space="0" w:color="auto"/>
        <w:left w:val="none" w:sz="0" w:space="0" w:color="auto"/>
        <w:bottom w:val="none" w:sz="0" w:space="0" w:color="auto"/>
        <w:right w:val="none" w:sz="0" w:space="0" w:color="auto"/>
      </w:divBdr>
    </w:div>
    <w:div w:id="1961717596">
      <w:bodyDiv w:val="1"/>
      <w:marLeft w:val="0"/>
      <w:marRight w:val="0"/>
      <w:marTop w:val="0"/>
      <w:marBottom w:val="0"/>
      <w:divBdr>
        <w:top w:val="none" w:sz="0" w:space="0" w:color="auto"/>
        <w:left w:val="none" w:sz="0" w:space="0" w:color="auto"/>
        <w:bottom w:val="none" w:sz="0" w:space="0" w:color="auto"/>
        <w:right w:val="none" w:sz="0" w:space="0" w:color="auto"/>
      </w:divBdr>
      <w:divsChild>
        <w:div w:id="864027147">
          <w:marLeft w:val="480"/>
          <w:marRight w:val="0"/>
          <w:marTop w:val="0"/>
          <w:marBottom w:val="0"/>
          <w:divBdr>
            <w:top w:val="none" w:sz="0" w:space="0" w:color="auto"/>
            <w:left w:val="none" w:sz="0" w:space="0" w:color="auto"/>
            <w:bottom w:val="none" w:sz="0" w:space="0" w:color="auto"/>
            <w:right w:val="none" w:sz="0" w:space="0" w:color="auto"/>
          </w:divBdr>
          <w:divsChild>
            <w:div w:id="200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1086">
      <w:bodyDiv w:val="1"/>
      <w:marLeft w:val="0"/>
      <w:marRight w:val="0"/>
      <w:marTop w:val="0"/>
      <w:marBottom w:val="0"/>
      <w:divBdr>
        <w:top w:val="none" w:sz="0" w:space="0" w:color="auto"/>
        <w:left w:val="none" w:sz="0" w:space="0" w:color="auto"/>
        <w:bottom w:val="none" w:sz="0" w:space="0" w:color="auto"/>
        <w:right w:val="none" w:sz="0" w:space="0" w:color="auto"/>
      </w:divBdr>
    </w:div>
    <w:div w:id="20409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19</Pages>
  <Words>9380</Words>
  <Characters>53471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Celia</dc:creator>
  <cp:keywords/>
  <dc:description/>
  <cp:lastModifiedBy>Eckert, Celia</cp:lastModifiedBy>
  <cp:revision>84</cp:revision>
  <cp:lastPrinted>2022-10-07T03:22:00Z</cp:lastPrinted>
  <dcterms:created xsi:type="dcterms:W3CDTF">2024-08-26T18:56:00Z</dcterms:created>
  <dcterms:modified xsi:type="dcterms:W3CDTF">2024-08-29T07:07:00Z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id="H4I9t1Na"/&gt;&lt;style id="http://www.zotero.org/styles/chicago-fullnote-bibliography-with-ibid" locale="en-US" hasBibliography="1" bibliographyStyleHasBeenSet="1"/&gt;&lt;prefs&gt;&lt;pref name="fieldType" value</vt:lpwstr>
  </property>
  <property fmtid="{D5CDD505-2E9C-101B-9397-08002B2CF9AE}" pid="3" name="ZOTERO_PREF_2">
    <vt:lpwstr>="Field"/&gt;&lt;pref name="noteType" value="1"/&gt;&lt;/prefs&gt;&lt;/data&gt;</vt:lpwstr>
  </property>
</Properties>
</file>