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E2A47" w14:textId="02DAAE69" w:rsidR="00C82998" w:rsidRDefault="00C82998" w:rsidP="00C82998">
      <w:pPr>
        <w:spacing w:line="480" w:lineRule="auto"/>
        <w:jc w:val="center"/>
        <w:rPr>
          <w:b/>
          <w:bCs/>
        </w:rPr>
      </w:pPr>
      <w:r>
        <w:rPr>
          <w:b/>
          <w:bCs/>
        </w:rPr>
        <w:t xml:space="preserve">Constitutional </w:t>
      </w:r>
      <w:r w:rsidRPr="00BA7F6C">
        <w:rPr>
          <w:b/>
          <w:bCs/>
        </w:rPr>
        <w:t>Parents’ Rights</w:t>
      </w:r>
      <w:r>
        <w:rPr>
          <w:b/>
          <w:bCs/>
        </w:rPr>
        <w:t xml:space="preserve"> and the Transformation of Parenthood</w:t>
      </w:r>
    </w:p>
    <w:p w14:paraId="6AF8CB18" w14:textId="77777777" w:rsidR="00C82998" w:rsidRPr="00A43524" w:rsidRDefault="00C82998" w:rsidP="00C82998">
      <w:pPr>
        <w:spacing w:line="480" w:lineRule="auto"/>
        <w:jc w:val="right"/>
        <w:rPr>
          <w:i/>
          <w:iCs/>
        </w:rPr>
      </w:pPr>
      <w:r>
        <w:rPr>
          <w:i/>
          <w:iCs/>
        </w:rPr>
        <w:t>Ak</w:t>
      </w:r>
      <w:r w:rsidRPr="00A43524">
        <w:rPr>
          <w:i/>
          <w:iCs/>
        </w:rPr>
        <w:t>shat Agarwal</w:t>
      </w:r>
      <w:r w:rsidRPr="00E8413A">
        <w:rPr>
          <w:i/>
          <w:iCs/>
          <w:vertAlign w:val="superscript"/>
        </w:rPr>
        <w:t>*</w:t>
      </w:r>
    </w:p>
    <w:p w14:paraId="659447BC" w14:textId="77777777" w:rsidR="00C82998" w:rsidRPr="00BF1091" w:rsidRDefault="00C82998" w:rsidP="00C82998">
      <w:pPr>
        <w:spacing w:line="480" w:lineRule="auto"/>
        <w:jc w:val="center"/>
        <w:rPr>
          <w:b/>
          <w:bCs/>
          <w:i/>
          <w:iCs/>
        </w:rPr>
      </w:pPr>
      <w:r w:rsidRPr="00254C51">
        <w:rPr>
          <w:b/>
          <w:bCs/>
          <w:i/>
          <w:iCs/>
        </w:rPr>
        <w:t>Abstract</w:t>
      </w:r>
      <w:r>
        <w:rPr>
          <w:i/>
          <w:iCs/>
        </w:rPr>
        <w:t xml:space="preserve"> </w:t>
      </w:r>
    </w:p>
    <w:p w14:paraId="0490E66B" w14:textId="77777777" w:rsidR="00C82998" w:rsidRDefault="00C82998" w:rsidP="00C82998">
      <w:pPr>
        <w:spacing w:line="480" w:lineRule="auto"/>
        <w:ind w:firstLine="720"/>
        <w:jc w:val="both"/>
        <w:rPr>
          <w:i/>
          <w:iCs/>
        </w:rPr>
      </w:pPr>
      <w:r w:rsidRPr="00B37EC6">
        <w:rPr>
          <w:i/>
          <w:iCs/>
        </w:rPr>
        <w:t xml:space="preserve">This Article argues that constitutional parents’ rights are essential </w:t>
      </w:r>
      <w:r>
        <w:rPr>
          <w:i/>
          <w:iCs/>
        </w:rPr>
        <w:t xml:space="preserve">to </w:t>
      </w:r>
      <w:r w:rsidRPr="00B37EC6">
        <w:rPr>
          <w:i/>
          <w:iCs/>
        </w:rPr>
        <w:t>understanding parenthood law’s transformation to recognize non</w:t>
      </w:r>
      <w:r>
        <w:rPr>
          <w:i/>
          <w:iCs/>
        </w:rPr>
        <w:t>-</w:t>
      </w:r>
      <w:r w:rsidRPr="00B37EC6">
        <w:rPr>
          <w:i/>
          <w:iCs/>
        </w:rPr>
        <w:t>traditional families.</w:t>
      </w:r>
      <w:r w:rsidRPr="00A7097D">
        <w:rPr>
          <w:i/>
          <w:iCs/>
        </w:rPr>
        <w:t xml:space="preserve"> </w:t>
      </w:r>
      <w:r>
        <w:rPr>
          <w:i/>
          <w:iCs/>
        </w:rPr>
        <w:t>Such</w:t>
      </w:r>
      <w:r w:rsidRPr="00A7097D">
        <w:rPr>
          <w:i/>
          <w:iCs/>
        </w:rPr>
        <w:t xml:space="preserve"> families</w:t>
      </w:r>
      <w:r>
        <w:rPr>
          <w:i/>
          <w:iCs/>
        </w:rPr>
        <w:t xml:space="preserve">, which include families formed through assisted reproductive technologies, LGBTQ+ families, and families in which non-parental caregivers perform parental roles, </w:t>
      </w:r>
      <w:r w:rsidRPr="00A7097D">
        <w:rPr>
          <w:i/>
          <w:iCs/>
        </w:rPr>
        <w:t xml:space="preserve">require the recognition of a non-parent’s relationship with the child. </w:t>
      </w:r>
      <w:r>
        <w:rPr>
          <w:i/>
          <w:iCs/>
        </w:rPr>
        <w:t xml:space="preserve">Yet the </w:t>
      </w:r>
      <w:proofErr w:type="spellStart"/>
      <w:r>
        <w:rPr>
          <w:i/>
          <w:iCs/>
        </w:rPr>
        <w:t>constitutionalization</w:t>
      </w:r>
      <w:proofErr w:type="spellEnd"/>
      <w:r>
        <w:rPr>
          <w:i/>
          <w:iCs/>
        </w:rPr>
        <w:t xml:space="preserve"> of parents’ rights—by granting parents the right to exclude non-parents from accessing parental rights and responsibilities—makes it harder for a non-parent to form a relationship with a child over a parent’s objection. Because c</w:t>
      </w:r>
      <w:r w:rsidRPr="00A7097D">
        <w:rPr>
          <w:i/>
          <w:iCs/>
        </w:rPr>
        <w:t>onstitutional law</w:t>
      </w:r>
      <w:r>
        <w:rPr>
          <w:i/>
          <w:iCs/>
        </w:rPr>
        <w:t xml:space="preserve"> thus situates</w:t>
      </w:r>
      <w:r w:rsidRPr="00A7097D">
        <w:rPr>
          <w:i/>
          <w:iCs/>
        </w:rPr>
        <w:t xml:space="preserve"> parenthood as an exclusive status</w:t>
      </w:r>
      <w:r>
        <w:rPr>
          <w:i/>
          <w:iCs/>
        </w:rPr>
        <w:t xml:space="preserve">, law-reform efforts have focused not on extending parental rights and responsibilities to non-parents but on expanding the legal definition of parenthood itself. In that way, </w:t>
      </w:r>
      <w:r w:rsidRPr="00A7097D">
        <w:rPr>
          <w:i/>
          <w:iCs/>
        </w:rPr>
        <w:t>parenthood has, perhaps counterintuitively, become more inclusive.</w:t>
      </w:r>
      <w:r>
        <w:rPr>
          <w:i/>
          <w:iCs/>
        </w:rPr>
        <w:t xml:space="preserve"> </w:t>
      </w:r>
      <w:r w:rsidRPr="00A7097D">
        <w:rPr>
          <w:i/>
          <w:iCs/>
        </w:rPr>
        <w:t xml:space="preserve">This means that constitutional parents’ rights </w:t>
      </w:r>
      <w:r>
        <w:rPr>
          <w:i/>
          <w:iCs/>
        </w:rPr>
        <w:t xml:space="preserve">have </w:t>
      </w:r>
      <w:r w:rsidRPr="00A7097D">
        <w:rPr>
          <w:i/>
          <w:iCs/>
        </w:rPr>
        <w:t>not only ma</w:t>
      </w:r>
      <w:r>
        <w:rPr>
          <w:i/>
          <w:iCs/>
        </w:rPr>
        <w:t>de</w:t>
      </w:r>
      <w:r w:rsidRPr="00A7097D">
        <w:rPr>
          <w:i/>
          <w:iCs/>
        </w:rPr>
        <w:t xml:space="preserve"> parenthood law a site of deep contestation over children’s interests and parental authority but also equality</w:t>
      </w:r>
      <w:r w:rsidRPr="0005207A">
        <w:rPr>
          <w:i/>
          <w:iCs/>
        </w:rPr>
        <w:t>. This Article makes this argument by using English law, from which American family law descends but where parents’ rights are not similarly constitutionalized, as a comparative foil.</w:t>
      </w:r>
    </w:p>
    <w:p w14:paraId="7101F985" w14:textId="5F50B3E8" w:rsidR="00C82998" w:rsidRDefault="00C82998" w:rsidP="00C82998">
      <w:pPr>
        <w:spacing w:line="480" w:lineRule="auto"/>
        <w:ind w:firstLine="720"/>
        <w:jc w:val="both"/>
        <w:rPr>
          <w:i/>
          <w:iCs/>
        </w:rPr>
      </w:pPr>
      <w:r>
        <w:rPr>
          <w:i/>
          <w:iCs/>
        </w:rPr>
        <w:t xml:space="preserve"> </w:t>
      </w:r>
      <w:r w:rsidRPr="00986BD8">
        <w:rPr>
          <w:i/>
          <w:iCs/>
        </w:rPr>
        <w:t>T</w:t>
      </w:r>
      <w:r>
        <w:rPr>
          <w:i/>
          <w:iCs/>
        </w:rPr>
        <w:t>his</w:t>
      </w:r>
      <w:r w:rsidRPr="00986BD8">
        <w:rPr>
          <w:i/>
          <w:iCs/>
        </w:rPr>
        <w:t xml:space="preserve"> </w:t>
      </w:r>
      <w:r>
        <w:rPr>
          <w:i/>
          <w:iCs/>
        </w:rPr>
        <w:t xml:space="preserve">Article makes three significant contributions to existing literature. First, it explains how the </w:t>
      </w:r>
      <w:proofErr w:type="spellStart"/>
      <w:r>
        <w:rPr>
          <w:i/>
          <w:iCs/>
        </w:rPr>
        <w:t>constitutionalization</w:t>
      </w:r>
      <w:proofErr w:type="spellEnd"/>
      <w:r>
        <w:rPr>
          <w:i/>
          <w:iCs/>
        </w:rPr>
        <w:t xml:space="preserve"> of parents’ rights structures parenthood law and what that means for the recognition of non-traditional families. Second, it offers a different perspective on parents’ rights by showing how a focus on parents’ interests can contribute to a progressive emphasis on the equality of non-traditional families. Last, by using English law as a refractive lens for understanding American law it offers a novel method for doing comparative law.</w:t>
      </w:r>
    </w:p>
    <w:p w14:paraId="6A2A0C1A" w14:textId="77777777" w:rsidR="00C82998" w:rsidRPr="00C82998" w:rsidRDefault="00C82998" w:rsidP="00C82998">
      <w:pPr>
        <w:spacing w:line="480" w:lineRule="auto"/>
        <w:ind w:firstLine="720"/>
        <w:jc w:val="both"/>
        <w:rPr>
          <w:i/>
          <w:iCs/>
        </w:rPr>
      </w:pPr>
    </w:p>
    <w:p w14:paraId="73CE4CBD" w14:textId="77777777" w:rsidR="00C82998" w:rsidRDefault="00C82998" w:rsidP="00C82998">
      <w:pPr>
        <w:jc w:val="center"/>
        <w:rPr>
          <w:b/>
          <w:bCs/>
          <w:sz w:val="28"/>
          <w:szCs w:val="28"/>
        </w:rPr>
      </w:pPr>
      <w:r w:rsidRPr="00C82998">
        <w:rPr>
          <w:b/>
          <w:bCs/>
          <w:sz w:val="28"/>
          <w:szCs w:val="28"/>
        </w:rPr>
        <w:t>Introduction</w:t>
      </w:r>
    </w:p>
    <w:p w14:paraId="7A2C2A82" w14:textId="77777777" w:rsidR="00C82998" w:rsidRPr="00C82998" w:rsidRDefault="00C82998" w:rsidP="00C82998">
      <w:pPr>
        <w:jc w:val="center"/>
        <w:rPr>
          <w:b/>
          <w:bCs/>
          <w:sz w:val="28"/>
          <w:szCs w:val="28"/>
        </w:rPr>
      </w:pPr>
    </w:p>
    <w:p w14:paraId="4C62DE61" w14:textId="77777777" w:rsidR="00C82998" w:rsidRDefault="00C82998" w:rsidP="00C82998">
      <w:pPr>
        <w:spacing w:line="480" w:lineRule="auto"/>
        <w:ind w:firstLine="720"/>
        <w:jc w:val="both"/>
      </w:pPr>
      <w:r>
        <w:t>Parenthood law has become a site of contestation and change. Social developments, including family formation through assisted reproductive technologies (ART),</w:t>
      </w:r>
      <w:r w:rsidRPr="001F71E0">
        <w:rPr>
          <w:rStyle w:val="FootnoteReference"/>
        </w:rPr>
        <w:footnoteReference w:id="1"/>
      </w:r>
      <w:r>
        <w:t xml:space="preserve">  LGBTQ+ families,</w:t>
      </w:r>
      <w:r w:rsidRPr="001F71E0">
        <w:rPr>
          <w:rStyle w:val="FootnoteReference"/>
        </w:rPr>
        <w:footnoteReference w:id="2"/>
      </w:r>
      <w:r>
        <w:t xml:space="preserve"> and the greater recognition of non-parental caregivers performing parental roles,</w:t>
      </w:r>
      <w:r w:rsidRPr="001F71E0">
        <w:rPr>
          <w:rStyle w:val="FootnoteReference"/>
        </w:rPr>
        <w:footnoteReference w:id="3"/>
      </w:r>
      <w:r>
        <w:t xml:space="preserve"> have contributed to these shifts. This is visible in family law developments at the state-level</w:t>
      </w:r>
      <w:r w:rsidRPr="001F71E0">
        <w:rPr>
          <w:rStyle w:val="FootnoteReference"/>
        </w:rPr>
        <w:footnoteReference w:id="4"/>
      </w:r>
      <w:r>
        <w:t xml:space="preserve"> as well as in the agendas of prominent civil rights organizations.</w:t>
      </w:r>
      <w:r w:rsidRPr="001F71E0">
        <w:rPr>
          <w:rStyle w:val="FootnoteReference"/>
        </w:rPr>
        <w:footnoteReference w:id="5"/>
      </w:r>
      <w:r>
        <w:t xml:space="preserve"> Such non-traditional families</w:t>
      </w:r>
      <w:r w:rsidRPr="001F71E0">
        <w:rPr>
          <w:rStyle w:val="FootnoteReference"/>
        </w:rPr>
        <w:footnoteReference w:id="6"/>
      </w:r>
      <w:r>
        <w:t xml:space="preserve"> have been shifting the legal bases of parenthood which had focused on birth, marriage, and genetics to principles of intent, the commitment to raise a child and function, the conduct of </w:t>
      </w:r>
      <w:r>
        <w:lastRenderedPageBreak/>
        <w:t>raising the child.</w:t>
      </w:r>
      <w:r w:rsidRPr="001F71E0">
        <w:rPr>
          <w:rStyle w:val="FootnoteReference"/>
        </w:rPr>
        <w:footnoteReference w:id="7"/>
      </w:r>
      <w:r>
        <w:t xml:space="preserve">  As families that do not adhere to the traditional notion of two heterosexual, married parents raising biological children become the norm,</w:t>
      </w:r>
      <w:r>
        <w:rPr>
          <w:rStyle w:val="FootnoteReference"/>
        </w:rPr>
        <w:footnoteReference w:id="8"/>
      </w:r>
      <w:r>
        <w:t xml:space="preserve"> the stakes for the legal recognition of non-traditional families have never been higher.</w:t>
      </w:r>
    </w:p>
    <w:p w14:paraId="07FA027D" w14:textId="77777777" w:rsidR="00C82998" w:rsidRDefault="00C82998" w:rsidP="00C82998">
      <w:pPr>
        <w:spacing w:line="480" w:lineRule="auto"/>
        <w:ind w:firstLine="720"/>
        <w:jc w:val="both"/>
      </w:pPr>
      <w:r>
        <w:t>At the same time, constitutional parents’ rights have been at the heart of debates in law and politics. Parents’ rights have been invoked in politically charged controversies ranging from school education,</w:t>
      </w:r>
      <w:r w:rsidRPr="001F71E0">
        <w:rPr>
          <w:rStyle w:val="FootnoteReference"/>
        </w:rPr>
        <w:footnoteReference w:id="9"/>
      </w:r>
      <w:r>
        <w:t xml:space="preserve"> gender-affirming care for transgender youth,</w:t>
      </w:r>
      <w:r w:rsidRPr="001F71E0">
        <w:rPr>
          <w:rStyle w:val="FootnoteReference"/>
        </w:rPr>
        <w:footnoteReference w:id="10"/>
      </w:r>
      <w:r>
        <w:t xml:space="preserve"> vaccinations,</w:t>
      </w:r>
      <w:r w:rsidRPr="001F71E0">
        <w:rPr>
          <w:rStyle w:val="FootnoteReference"/>
        </w:rPr>
        <w:footnoteReference w:id="11"/>
      </w:r>
      <w:r>
        <w:t xml:space="preserve"> and abortion care for minors.</w:t>
      </w:r>
      <w:r w:rsidRPr="001F71E0">
        <w:rPr>
          <w:rStyle w:val="FootnoteReference"/>
        </w:rPr>
        <w:footnoteReference w:id="12"/>
      </w:r>
      <w:r>
        <w:t xml:space="preserve"> Some scholars have recently argued that this rhetoric represents “retrenchment by diversion” since it employs parents’ right to subordinate the equality claims of disadvantaged groups.</w:t>
      </w:r>
      <w:r w:rsidRPr="001F71E0">
        <w:rPr>
          <w:rStyle w:val="FootnoteReference"/>
        </w:rPr>
        <w:footnoteReference w:id="13"/>
      </w:r>
      <w:r>
        <w:t xml:space="preserve"> The legal academy has also seen debates about family law’s focus on parents’ rights instead of children’s interests, with some arguing for a shift towards the latter.</w:t>
      </w:r>
      <w:r w:rsidRPr="001F71E0">
        <w:rPr>
          <w:rStyle w:val="FootnoteReference"/>
        </w:rPr>
        <w:footnoteReference w:id="14"/>
      </w:r>
      <w:r>
        <w:t xml:space="preserve"> Scholars working on the child welfare system, which has historically had a </w:t>
      </w:r>
      <w:r>
        <w:lastRenderedPageBreak/>
        <w:t>disproportionate impact on poor families and families of color,</w:t>
      </w:r>
      <w:r w:rsidRPr="001F71E0">
        <w:rPr>
          <w:rStyle w:val="FootnoteReference"/>
        </w:rPr>
        <w:footnoteReference w:id="15"/>
      </w:r>
      <w:r>
        <w:t xml:space="preserve"> have suggested that parents’ rights can be relied on as a bulwark against State interference.</w:t>
      </w:r>
      <w:r w:rsidRPr="001F71E0">
        <w:rPr>
          <w:rStyle w:val="FootnoteReference"/>
        </w:rPr>
        <w:footnoteReference w:id="16"/>
      </w:r>
      <w:r>
        <w:t xml:space="preserve"> </w:t>
      </w:r>
    </w:p>
    <w:p w14:paraId="1D3E2152" w14:textId="77777777" w:rsidR="00C82998" w:rsidRDefault="00C82998" w:rsidP="00C82998">
      <w:pPr>
        <w:spacing w:line="480" w:lineRule="auto"/>
        <w:ind w:firstLine="720"/>
        <w:jc w:val="both"/>
      </w:pPr>
      <w:r>
        <w:t>Parenthood and constitutional parents’ rights are thus two big issues in the law of parent-child relationships, yet existing scholarship has surprisingly not explored how they relate to one another. Scholars have generally viewed parents’ rights and parenthood as distinct concepts.</w:t>
      </w:r>
      <w:r>
        <w:rPr>
          <w:rStyle w:val="FootnoteReference"/>
        </w:rPr>
        <w:footnoteReference w:id="17"/>
      </w:r>
      <w:r>
        <w:t xml:space="preserve"> Others have focused on how constitutional parents’ rights may set the definitional boundaries of parenthood but have not looked at how they shape the overall structure of parenthood law.</w:t>
      </w:r>
      <w:r>
        <w:rPr>
          <w:rStyle w:val="FootnoteReference"/>
        </w:rPr>
        <w:footnoteReference w:id="18"/>
      </w:r>
    </w:p>
    <w:p w14:paraId="73910B32" w14:textId="77777777" w:rsidR="00C82998" w:rsidRPr="005D38BC" w:rsidRDefault="00C82998" w:rsidP="00C82998">
      <w:pPr>
        <w:spacing w:line="480" w:lineRule="auto"/>
        <w:ind w:firstLine="720"/>
        <w:jc w:val="both"/>
      </w:pPr>
      <w:r>
        <w:t>I fill this glaring gap by arguing that constitutional parents’ rights have important implications for how parenthood law evolves to recognize non-traditional families. In such</w:t>
      </w:r>
      <w:r w:rsidRPr="00FE2F87">
        <w:t xml:space="preserve"> families, apart from the ‘parent</w:t>
      </w:r>
      <w:r>
        <w:t>,’</w:t>
      </w:r>
      <w:r w:rsidRPr="00FE2F87">
        <w:t xml:space="preserve"> who is generally a biological parent,</w:t>
      </w:r>
      <w:r w:rsidRPr="001F71E0">
        <w:rPr>
          <w:rStyle w:val="FootnoteReference"/>
        </w:rPr>
        <w:footnoteReference w:id="19"/>
      </w:r>
      <w:r w:rsidRPr="00FE2F87">
        <w:t xml:space="preserve"> there is always </w:t>
      </w:r>
      <w:r>
        <w:t>a ‘non-parent,’</w:t>
      </w:r>
      <w:r w:rsidRPr="00FE2F87">
        <w:t xml:space="preserve"> often a non-biological parent</w:t>
      </w:r>
      <w:r w:rsidRPr="001F71E0">
        <w:rPr>
          <w:rStyle w:val="FootnoteReference"/>
        </w:rPr>
        <w:footnoteReference w:id="20"/>
      </w:r>
      <w:r w:rsidRPr="00FE2F87">
        <w:t xml:space="preserve"> or a third party,</w:t>
      </w:r>
      <w:r w:rsidRPr="001F71E0">
        <w:rPr>
          <w:rStyle w:val="FootnoteReference"/>
        </w:rPr>
        <w:footnoteReference w:id="21"/>
      </w:r>
      <w:r w:rsidRPr="00FE2F87">
        <w:t xml:space="preserve"> who seeks a relationship with the child.</w:t>
      </w:r>
      <w:r>
        <w:rPr>
          <w:i/>
          <w:iCs/>
        </w:rPr>
        <w:t xml:space="preserve"> </w:t>
      </w:r>
      <w:r>
        <w:t xml:space="preserve">The </w:t>
      </w:r>
      <w:proofErr w:type="spellStart"/>
      <w:r>
        <w:t>constitutionalization</w:t>
      </w:r>
      <w:proofErr w:type="spellEnd"/>
      <w:r>
        <w:t xml:space="preserve"> of parents’ rights, which includes the right to exclude non-parents, raises the stakes of parental recognition and makes it harder to allocate parental rights and responsibilities, such as custody and visitation, to non-parents. </w:t>
      </w:r>
      <w:r w:rsidRPr="00A073A4">
        <w:t xml:space="preserve">However, constitutional law </w:t>
      </w:r>
      <w:r>
        <w:t xml:space="preserve">also </w:t>
      </w:r>
      <w:r w:rsidRPr="00A073A4">
        <w:t>situates parenthood as an exclusive status,</w:t>
      </w:r>
      <w:r>
        <w:t xml:space="preserve"> leading to a focus on the expansion of parental statuses to recognize ‘non-parents’ as ‘parents’ in non-traditional families. Consequently,</w:t>
      </w:r>
      <w:r w:rsidRPr="00A073A4">
        <w:t xml:space="preserve"> parenthood, perhaps counterintuitively,</w:t>
      </w:r>
      <w:r>
        <w:t xml:space="preserve"> also</w:t>
      </w:r>
      <w:r w:rsidRPr="00A073A4">
        <w:t xml:space="preserve"> become</w:t>
      </w:r>
      <w:r>
        <w:t>s</w:t>
      </w:r>
      <w:r w:rsidRPr="00A073A4">
        <w:t xml:space="preserve"> more inclusive</w:t>
      </w:r>
      <w:r>
        <w:t xml:space="preserve">. </w:t>
      </w:r>
      <w:r>
        <w:lastRenderedPageBreak/>
        <w:t xml:space="preserve">Therefore, constitutional parents’ rights make parenthood law </w:t>
      </w:r>
      <w:r w:rsidRPr="00A073A4">
        <w:t>a site of deep contestation over not only children’s interests and parental authority but also equality.</w:t>
      </w:r>
    </w:p>
    <w:p w14:paraId="1E677726" w14:textId="77777777" w:rsidR="00C82998" w:rsidRDefault="00C82998" w:rsidP="00C82998">
      <w:pPr>
        <w:spacing w:line="480" w:lineRule="auto"/>
        <w:ind w:firstLine="720"/>
        <w:jc w:val="both"/>
      </w:pPr>
      <w:r w:rsidRPr="00877DC7">
        <w:t>In the U.S. parents’</w:t>
      </w:r>
      <w:r>
        <w:t xml:space="preserve"> rights were constitutionalized by the Supreme Court under the Fourteenth Amendment of the Constitution.</w:t>
      </w:r>
      <w:r>
        <w:rPr>
          <w:rStyle w:val="FootnoteReference"/>
        </w:rPr>
        <w:footnoteReference w:id="22"/>
      </w:r>
      <w:r>
        <w:t xml:space="preserve"> </w:t>
      </w:r>
      <w:proofErr w:type="spellStart"/>
      <w:r w:rsidRPr="000F51B3">
        <w:t>Constitutionalization</w:t>
      </w:r>
      <w:proofErr w:type="spellEnd"/>
      <w:r w:rsidRPr="000F51B3">
        <w:t xml:space="preserve"> elevates a legal right from mere ordinary law to a fundamental norm that limits State action</w:t>
      </w:r>
      <w:r w:rsidRPr="00877DC7">
        <w:t>.</w:t>
      </w:r>
      <w:r w:rsidRPr="00877DC7">
        <w:rPr>
          <w:rStyle w:val="FootnoteReference"/>
        </w:rPr>
        <w:footnoteReference w:id="23"/>
      </w:r>
      <w:r w:rsidRPr="00877DC7">
        <w:t xml:space="preserve"> </w:t>
      </w:r>
      <w:r>
        <w:t xml:space="preserve"> Constitutional parents’ rights in family law, however, not only impose limits on State interference into the </w:t>
      </w:r>
      <w:proofErr w:type="gramStart"/>
      <w:r>
        <w:t>family, but</w:t>
      </w:r>
      <w:proofErr w:type="gramEnd"/>
      <w:r>
        <w:t xml:space="preserve"> also apply horizontally between parents and non-parents. This is central to the recognition non-traditional families which involve the interests of the ‘parent’, the child, the State and a ‘non-parent’ who is seeking to establish a relationship with the child. Constitutional parents’</w:t>
      </w:r>
      <w:r w:rsidRPr="00FE2F87">
        <w:t xml:space="preserve"> rights</w:t>
      </w:r>
      <w:r>
        <w:t xml:space="preserve"> make the identity of the parent </w:t>
      </w:r>
      <w:r w:rsidRPr="00FE2F87">
        <w:t>extremely salient</w:t>
      </w:r>
      <w:r>
        <w:t xml:space="preserve"> thereby </w:t>
      </w:r>
      <w:r w:rsidRPr="00FE2F87">
        <w:t>enhanc</w:t>
      </w:r>
      <w:r>
        <w:t>ing</w:t>
      </w:r>
      <w:r w:rsidRPr="00FE2F87">
        <w:t xml:space="preserve"> the</w:t>
      </w:r>
      <w:r>
        <w:t xml:space="preserve"> </w:t>
      </w:r>
      <w:r w:rsidRPr="00FE2F87">
        <w:t xml:space="preserve">significance of </w:t>
      </w:r>
      <w:r w:rsidRPr="00432638">
        <w:rPr>
          <w:i/>
          <w:iCs/>
        </w:rPr>
        <w:t>parental status</w:t>
      </w:r>
      <w:r w:rsidRPr="00FE2F87">
        <w:t xml:space="preserve">. </w:t>
      </w:r>
      <w:r>
        <w:t>Moreover, if the parent</w:t>
      </w:r>
      <w:r w:rsidRPr="00FE2F87">
        <w:t xml:space="preserve"> </w:t>
      </w:r>
      <w:r>
        <w:t>objects to the child’s relationship with a non-parent, in the exercise of their right to exclude,</w:t>
      </w:r>
      <w:r w:rsidRPr="00FE2F87">
        <w:t xml:space="preserve"> </w:t>
      </w:r>
      <w:r>
        <w:t>the</w:t>
      </w:r>
      <w:r w:rsidRPr="00FE2F87">
        <w:t xml:space="preserve"> State must defer to the </w:t>
      </w:r>
      <w:r>
        <w:t>parent</w:t>
      </w:r>
      <w:r w:rsidRPr="00FE2F87">
        <w:t>, th</w:t>
      </w:r>
      <w:r>
        <w:t>us</w:t>
      </w:r>
      <w:r w:rsidRPr="00FE2F87">
        <w:t xml:space="preserve"> sharpening the distinction between parents and non-parents</w:t>
      </w:r>
      <w:r>
        <w:t>,</w:t>
      </w:r>
      <w:r w:rsidRPr="00FE2F87">
        <w:t xml:space="preserve"> and emphasizing </w:t>
      </w:r>
      <w:r w:rsidRPr="00FE2F87">
        <w:rPr>
          <w:i/>
          <w:iCs/>
        </w:rPr>
        <w:t>deference</w:t>
      </w:r>
      <w:r w:rsidRPr="00FE2F87">
        <w:t xml:space="preserve">. </w:t>
      </w:r>
      <w:r>
        <w:t xml:space="preserve">Therefore, </w:t>
      </w:r>
      <w:proofErr w:type="spellStart"/>
      <w:r>
        <w:t>constitutionalization</w:t>
      </w:r>
      <w:proofErr w:type="spellEnd"/>
      <w:r>
        <w:t xml:space="preserve"> enhances the strength of parents’ rights. </w:t>
      </w:r>
    </w:p>
    <w:p w14:paraId="0252BB8F" w14:textId="77777777" w:rsidR="00C82998" w:rsidRDefault="00C82998" w:rsidP="00C82998">
      <w:pPr>
        <w:spacing w:line="480" w:lineRule="auto"/>
        <w:ind w:firstLine="720"/>
        <w:jc w:val="both"/>
      </w:pPr>
      <w:r>
        <w:t>To better understand how this dynamic shapes American parenthood law’s recognition of non-traditional families, I use English</w:t>
      </w:r>
      <w:r w:rsidRPr="001F71E0">
        <w:rPr>
          <w:rStyle w:val="FootnoteReference"/>
        </w:rPr>
        <w:footnoteReference w:id="24"/>
      </w:r>
      <w:r>
        <w:t xml:space="preserve"> law as a foil to reflect on and clarify American law. In using comparison as a refractive lens, I ask different questions and shed greater light on aspects of American law that are not obvious from a lone focus on domestic law.</w:t>
      </w:r>
      <w:r w:rsidRPr="001F71E0">
        <w:rPr>
          <w:rStyle w:val="FootnoteReference"/>
        </w:rPr>
        <w:footnoteReference w:id="25"/>
      </w:r>
      <w:r>
        <w:t xml:space="preserve"> This choice </w:t>
      </w:r>
      <w:r>
        <w:lastRenderedPageBreak/>
        <w:t>stems from the fact that American family law descends from English common law.</w:t>
      </w:r>
      <w:r w:rsidRPr="001F71E0">
        <w:rPr>
          <w:rStyle w:val="FootnoteReference"/>
        </w:rPr>
        <w:footnoteReference w:id="26"/>
      </w:r>
      <w:r>
        <w:t xml:space="preserve"> Yet, unlike the U.S., parents’ rights in England have not been similarly constitutionalized and, therefore, remain weak.</w:t>
      </w:r>
      <w:r w:rsidRPr="001F71E0">
        <w:rPr>
          <w:rStyle w:val="FootnoteReference"/>
        </w:rPr>
        <w:footnoteReference w:id="27"/>
      </w:r>
      <w:r>
        <w:t xml:space="preserve"> Consequently, the status and deference dynamic visible in American law is absent in English law. Comparing the regimes highlights two key features of American parenthood law.</w:t>
      </w:r>
      <w:r w:rsidRPr="001F71E0">
        <w:rPr>
          <w:rStyle w:val="FootnoteReference"/>
        </w:rPr>
        <w:footnoteReference w:id="28"/>
      </w:r>
      <w:r>
        <w:t xml:space="preserve"> </w:t>
      </w:r>
    </w:p>
    <w:p w14:paraId="3AF20CC1" w14:textId="77777777" w:rsidR="00C82998" w:rsidRDefault="00C82998" w:rsidP="00C82998">
      <w:pPr>
        <w:spacing w:line="480" w:lineRule="auto"/>
        <w:ind w:firstLine="720"/>
        <w:jc w:val="both"/>
      </w:pPr>
      <w:r w:rsidRPr="00510A92">
        <w:rPr>
          <w:i/>
          <w:iCs/>
        </w:rPr>
        <w:t>First</w:t>
      </w:r>
      <w:r w:rsidRPr="00510A92">
        <w:t xml:space="preserve">, American law lays greater emphasis on the status of parenthood and parental rights and responsibilities remain linked to this status. English law, in comparison, pays less regard to parental status and is more concerned with the allocation of parental rights and responsibilities, which are delinked from </w:t>
      </w:r>
      <w:r>
        <w:t>parental status</w:t>
      </w:r>
      <w:r w:rsidRPr="00510A92">
        <w:t>.</w:t>
      </w:r>
      <w:r w:rsidRPr="00510A92">
        <w:rPr>
          <w:rStyle w:val="FootnoteReference"/>
        </w:rPr>
        <w:footnoteReference w:id="29"/>
      </w:r>
      <w:r w:rsidRPr="00510A92">
        <w:t xml:space="preserve"> In American law, the emphasis on parental status explains the growth of functional parent doctrines</w:t>
      </w:r>
      <w:r>
        <w:t xml:space="preserve"> that remain absent in English law</w:t>
      </w:r>
      <w:r w:rsidRPr="00510A92">
        <w:t>.</w:t>
      </w:r>
      <w:r w:rsidRPr="00510A92">
        <w:rPr>
          <w:rStyle w:val="FootnoteReference"/>
        </w:rPr>
        <w:footnoteReference w:id="30"/>
      </w:r>
      <w:r w:rsidRPr="00510A92">
        <w:t xml:space="preserve"> </w:t>
      </w:r>
      <w:r w:rsidRPr="00510A92">
        <w:rPr>
          <w:i/>
          <w:iCs/>
        </w:rPr>
        <w:t>Second</w:t>
      </w:r>
      <w:r w:rsidRPr="00510A92">
        <w:t>, the distinction between parents and non-parents is central to American parenthood law.</w:t>
      </w:r>
      <w:r w:rsidRPr="00510A92">
        <w:rPr>
          <w:rStyle w:val="FootnoteReference"/>
        </w:rPr>
        <w:footnoteReference w:id="31"/>
      </w:r>
      <w:r>
        <w:t xml:space="preserve"> </w:t>
      </w:r>
      <w:r w:rsidRPr="00510A92">
        <w:t>To address non-parents’ relationships with children, American states maintain separate, more demanding legal regimes for third-party custody and visitation.</w:t>
      </w:r>
      <w:r w:rsidRPr="00510A92">
        <w:rPr>
          <w:rStyle w:val="FootnoteReference"/>
        </w:rPr>
        <w:footnoteReference w:id="32"/>
      </w:r>
      <w:r w:rsidRPr="00510A92">
        <w:t xml:space="preserve"> English law is less concerned with the distinction between parents and non-parents, and </w:t>
      </w:r>
      <w:r>
        <w:t xml:space="preserve">instead </w:t>
      </w:r>
      <w:r w:rsidRPr="00510A92">
        <w:t>creat</w:t>
      </w:r>
      <w:r>
        <w:t>es</w:t>
      </w:r>
      <w:r w:rsidRPr="00510A92">
        <w:t xml:space="preserve"> paths for categories of non-parents to access rights and responsibilities.</w:t>
      </w:r>
      <w:r w:rsidRPr="00510A92">
        <w:rPr>
          <w:rStyle w:val="FootnoteReference"/>
        </w:rPr>
        <w:footnoteReference w:id="33"/>
      </w:r>
    </w:p>
    <w:p w14:paraId="72E01D9B" w14:textId="77777777" w:rsidR="00C82998" w:rsidRDefault="00C82998" w:rsidP="00C82998">
      <w:pPr>
        <w:spacing w:line="480" w:lineRule="auto"/>
        <w:ind w:right="95" w:firstLine="720"/>
        <w:jc w:val="both"/>
      </w:pPr>
      <w:r>
        <w:lastRenderedPageBreak/>
        <w:t>It is important to note that d</w:t>
      </w:r>
      <w:r w:rsidRPr="00A66C4C">
        <w:t xml:space="preserve">evelopments over the course of the twentieth century have made children’s interests significant in both </w:t>
      </w:r>
      <w:r>
        <w:t>jurisdictions</w:t>
      </w:r>
      <w:r w:rsidRPr="00A66C4C">
        <w:t>.</w:t>
      </w:r>
      <w:r w:rsidRPr="001F71E0">
        <w:rPr>
          <w:rStyle w:val="FootnoteReference"/>
        </w:rPr>
        <w:footnoteReference w:id="34"/>
      </w:r>
      <w:r w:rsidRPr="00A66C4C">
        <w:t xml:space="preserve"> </w:t>
      </w:r>
      <w:r>
        <w:t>However, a</w:t>
      </w:r>
      <w:r w:rsidRPr="00A66C4C">
        <w:t>s scholars have pointed out,</w:t>
      </w:r>
      <w:r>
        <w:t xml:space="preserve"> the </w:t>
      </w:r>
      <w:proofErr w:type="spellStart"/>
      <w:r>
        <w:t>constitutionalization</w:t>
      </w:r>
      <w:proofErr w:type="spellEnd"/>
      <w:r>
        <w:t xml:space="preserve"> of parents’ rights in the U.S., has meant that children’s interests are not the primary consideration in American family law but are </w:t>
      </w:r>
      <w:r w:rsidRPr="00932551">
        <w:t xml:space="preserve">often trumped by, or sometimes </w:t>
      </w:r>
      <w:r>
        <w:t>have to be balanced</w:t>
      </w:r>
      <w:r w:rsidRPr="00932551">
        <w:t xml:space="preserve"> with</w:t>
      </w:r>
      <w:r>
        <w:t xml:space="preserve"> parents’ rights.</w:t>
      </w:r>
      <w:r w:rsidRPr="001F71E0">
        <w:rPr>
          <w:rStyle w:val="FootnoteReference"/>
        </w:rPr>
        <w:footnoteReference w:id="35"/>
      </w:r>
      <w:r>
        <w:t xml:space="preserve"> In contrast, due to weak parents’ rights, children’s interests remain more pronounced in English law</w:t>
      </w:r>
      <w:r w:rsidRPr="002637D8">
        <w:t>.</w:t>
      </w:r>
      <w:r w:rsidRPr="001F71E0">
        <w:rPr>
          <w:rStyle w:val="FootnoteReference"/>
        </w:rPr>
        <w:footnoteReference w:id="36"/>
      </w:r>
      <w:r w:rsidRPr="002637D8">
        <w:t xml:space="preserve"> </w:t>
      </w:r>
    </w:p>
    <w:p w14:paraId="1ADCBDD2" w14:textId="77777777" w:rsidR="00C82998" w:rsidRDefault="00C82998" w:rsidP="00C82998">
      <w:pPr>
        <w:spacing w:line="480" w:lineRule="auto"/>
        <w:ind w:right="95" w:firstLine="720"/>
        <w:jc w:val="both"/>
      </w:pPr>
      <w:r w:rsidRPr="002637D8">
        <w:t xml:space="preserve">In </w:t>
      </w:r>
      <w:r>
        <w:t>the U.S.,</w:t>
      </w:r>
      <w:r w:rsidRPr="002637D8">
        <w:t xml:space="preserve"> due to strong parents’ rights, </w:t>
      </w:r>
      <w:r>
        <w:t>parental rights and responsibilities cannot be allocated to non-parents merely based on children’s interests but they</w:t>
      </w:r>
      <w:r w:rsidRPr="002637D8">
        <w:t xml:space="preserve"> should </w:t>
      </w:r>
      <w:r>
        <w:t xml:space="preserve">either </w:t>
      </w:r>
      <w:r w:rsidRPr="002637D8">
        <w:t xml:space="preserve">occupy a functional parental status or meet the higher requirements of </w:t>
      </w:r>
      <w:proofErr w:type="gramStart"/>
      <w:r w:rsidRPr="002637D8">
        <w:t>third</w:t>
      </w:r>
      <w:r>
        <w:t xml:space="preserve"> party</w:t>
      </w:r>
      <w:proofErr w:type="gramEnd"/>
      <w:r w:rsidRPr="002637D8">
        <w:t xml:space="preserve"> laws.</w:t>
      </w:r>
      <w:r>
        <w:t xml:space="preserve"> </w:t>
      </w:r>
      <w:r w:rsidRPr="002637D8">
        <w:t>By comparison, weak parents’ rights mean that English law pays less attention to status and directly allocates parental rights and responsibilities based almost entirely on children’s interests.</w:t>
      </w:r>
      <w:r w:rsidRPr="001F71E0">
        <w:rPr>
          <w:rStyle w:val="FootnoteReference"/>
        </w:rPr>
        <w:footnoteReference w:id="37"/>
      </w:r>
      <w:r w:rsidRPr="002637D8">
        <w:t xml:space="preserve"> This</w:t>
      </w:r>
      <w:r>
        <w:t xml:space="preserve"> does not mean that English courts sometimes do not show an implicit preference for parental status, even when arguing in terms of children’s interests.</w:t>
      </w:r>
      <w:r w:rsidRPr="001F71E0">
        <w:rPr>
          <w:rStyle w:val="FootnoteReference"/>
        </w:rPr>
        <w:footnoteReference w:id="38"/>
      </w:r>
      <w:r>
        <w:t xml:space="preserve"> Similarly, the interests of children remain significant in the U.S. as well. In fact, family law scholars often justify the creation of new statuses in children’s interests.</w:t>
      </w:r>
      <w:r w:rsidRPr="001F71E0">
        <w:rPr>
          <w:rStyle w:val="FootnoteReference"/>
        </w:rPr>
        <w:footnoteReference w:id="39"/>
      </w:r>
      <w:r>
        <w:t xml:space="preserve"> However, </w:t>
      </w:r>
      <w:proofErr w:type="spellStart"/>
      <w:r>
        <w:t>constitutionalization</w:t>
      </w:r>
      <w:proofErr w:type="spellEnd"/>
      <w:r>
        <w:t xml:space="preserve"> and the consequent strength </w:t>
      </w:r>
      <w:r>
        <w:lastRenderedPageBreak/>
        <w:t xml:space="preserve">of parents’ rights means that the relative significance of parental statuses and children’s interests varies. </w:t>
      </w:r>
    </w:p>
    <w:p w14:paraId="216AD42B" w14:textId="77777777" w:rsidR="00C82998" w:rsidRPr="0098059B" w:rsidRDefault="00C82998" w:rsidP="00C82998">
      <w:pPr>
        <w:spacing w:line="480" w:lineRule="auto"/>
        <w:ind w:right="95" w:firstLine="720"/>
        <w:jc w:val="both"/>
      </w:pPr>
      <w:r w:rsidRPr="0098059B">
        <w:t xml:space="preserve">Comparing </w:t>
      </w:r>
      <w:r>
        <w:t>the two</w:t>
      </w:r>
      <w:r w:rsidRPr="0098059B">
        <w:t xml:space="preserve"> regimes</w:t>
      </w:r>
      <w:r>
        <w:t xml:space="preserve"> </w:t>
      </w:r>
      <w:r w:rsidRPr="0098059B">
        <w:t>highlights important normative implications. Constitutional parents’ rights mean that American law is generally more rigid about allocating parental rights and responsibilities to non-parents since such allocation threatens the rights of parents.</w:t>
      </w:r>
      <w:r w:rsidRPr="0098059B">
        <w:rPr>
          <w:rStyle w:val="FootnoteReference"/>
        </w:rPr>
        <w:footnoteReference w:id="40"/>
      </w:r>
      <w:r w:rsidRPr="0098059B">
        <w:t xml:space="preserve"> Since parental rights and responsibilities are linked to status, whether as ‘parents’ or ‘third parties,’ these rights often cannot be easily disaggregated amongst a broad set of claimants.</w:t>
      </w:r>
      <w:r w:rsidRPr="0098059B">
        <w:rPr>
          <w:rStyle w:val="FootnoteReference"/>
        </w:rPr>
        <w:footnoteReference w:id="41"/>
      </w:r>
      <w:r w:rsidRPr="0098059B">
        <w:t xml:space="preserve"> By contrast, weak parents’ rights, less regard to status, and an exclusive focus on children’s interests mean that it is easier for English law to preserve the child’s relationships with various individuals through its flexible statutory rules.</w:t>
      </w:r>
      <w:r w:rsidRPr="0098059B">
        <w:rPr>
          <w:rStyle w:val="FootnoteReference"/>
        </w:rPr>
        <w:footnoteReference w:id="42"/>
      </w:r>
      <w:r w:rsidRPr="0098059B">
        <w:t xml:space="preserve"> Thus, non-biological parents may find it easier to acquire rights and responsibilities, and, on average, non-parental caregivers may be better able to preserve relationships with the child. </w:t>
      </w:r>
    </w:p>
    <w:p w14:paraId="1A5A35EA" w14:textId="77777777" w:rsidR="00C82998" w:rsidRPr="0098059B" w:rsidRDefault="00C82998" w:rsidP="00C82998">
      <w:pPr>
        <w:spacing w:line="480" w:lineRule="auto"/>
        <w:ind w:right="95" w:firstLine="720"/>
        <w:jc w:val="both"/>
      </w:pPr>
      <w:r w:rsidRPr="0098059B">
        <w:t>This may give the impression that constitutional parents’ rights generally make it harder to recognize non-traditional families. Yet, there is a paradox. Constitutional and strong, parents’ rights have meant that the law has begun to center the equality interests of diverse families in shaping family law.</w:t>
      </w:r>
      <w:r w:rsidRPr="0098059B">
        <w:rPr>
          <w:rStyle w:val="FootnoteReference"/>
        </w:rPr>
        <w:footnoteReference w:id="43"/>
      </w:r>
      <w:r w:rsidRPr="0098059B">
        <w:t xml:space="preserve"> Much is at stake in determining who a parent is, and these determinations have been shaped by equality commitments. Equality-based arguments in parenthood law have a long history. One can see such arguments in a previous generation of cases about unmarried fathers.</w:t>
      </w:r>
      <w:r w:rsidRPr="0098059B">
        <w:rPr>
          <w:rStyle w:val="FootnoteReference"/>
        </w:rPr>
        <w:footnoteReference w:id="44"/>
      </w:r>
      <w:r w:rsidRPr="0098059B">
        <w:t xml:space="preserve"> Today, they cut across claims made by diverse non-traditional families. I argue that these equality-based arguments arise, in part, from an emphasis on parental status. This is because linking the allocation of parental rights and responsibilities to parental status perpetuates inequalities in the allocation of parental rights and responsibilities </w:t>
      </w:r>
      <w:r w:rsidRPr="0098059B">
        <w:lastRenderedPageBreak/>
        <w:t>by creating the possibility of exclusion and inclusion. Ironically, this emphasis on status also makes parental inequalities more visible, and consequently, in addition to children’s interests, reform efforts also focus on the equality of non-traditional families. In some states, these equality-based arguments are contributing to developments in parenthood law including expanded principles of intent, legal parenthood based on conduct, as well as the possibility of multi-parent families.</w:t>
      </w:r>
      <w:r w:rsidRPr="0098059B">
        <w:rPr>
          <w:rStyle w:val="FootnoteReference"/>
        </w:rPr>
        <w:footnoteReference w:id="45"/>
      </w:r>
      <w:r w:rsidRPr="0098059B">
        <w:t xml:space="preserve"> </w:t>
      </w:r>
    </w:p>
    <w:p w14:paraId="11D2FFA4" w14:textId="77777777" w:rsidR="00C82998" w:rsidRPr="0098059B" w:rsidRDefault="00C82998" w:rsidP="00C82998">
      <w:pPr>
        <w:spacing w:line="480" w:lineRule="auto"/>
        <w:ind w:right="95" w:firstLine="720"/>
        <w:jc w:val="both"/>
      </w:pPr>
      <w:r w:rsidRPr="0098059B">
        <w:t xml:space="preserve">In contrast, equality-based arguments remain largely absent in English law, and consequently, legal parenthood is more rigid. Hence, even though non-biological parents or non-parental caregivers may find it easier to acquire some parental rights and responsibilities, paths to legal parenthood remain inflexible. This is visible in how English law does not recognize legal parenthood based on conduct or the possibility of more than two legal parents, as well as in inflexible rules around ARTs like surrogacy. </w:t>
      </w:r>
    </w:p>
    <w:p w14:paraId="66A601CE" w14:textId="77777777" w:rsidR="00C82998" w:rsidRPr="0098059B" w:rsidRDefault="00C82998" w:rsidP="00C82998">
      <w:pPr>
        <w:spacing w:line="480" w:lineRule="auto"/>
        <w:ind w:right="95" w:firstLine="720"/>
        <w:jc w:val="both"/>
      </w:pPr>
      <w:r w:rsidRPr="0098059B">
        <w:t>Concretely, for American law, equality-based arguments create greater paths for non-biological parents in LGBTQ+ families or for those relying on ART to achieve legal parenthood. These requirements, however, often focus on principles of intent and the existence of an expressive parent-child relationship, which may exclude categories of third-party caregivers such as relatives who may not share an intimate relationship with the child’s legal parent, and whose relationships with the child may not necessarily qualify as parental.  Accordingly, given the law’s inability to disaggregate parental rights and responsibilities, these caregivers may have little chance of preserving their relationships with the child if the parent objects. Such families are often disproportionately marginalized including families going through crisis, families of color</w:t>
      </w:r>
      <w:r>
        <w:t>,</w:t>
      </w:r>
      <w:r w:rsidRPr="0098059B">
        <w:t xml:space="preserve"> and poor families. To recognize a diverse set of non-traditional families states should maintain </w:t>
      </w:r>
      <w:r>
        <w:t xml:space="preserve">doctrinal paths that lie across the spectrum from </w:t>
      </w:r>
      <w:r>
        <w:lastRenderedPageBreak/>
        <w:t>conferring complete legal parenthood to recognizing statuses that confer more limited parental rights and responsibilities</w:t>
      </w:r>
      <w:r w:rsidRPr="0098059B">
        <w:t>.</w:t>
      </w:r>
      <w:r w:rsidRPr="0098059B">
        <w:rPr>
          <w:rStyle w:val="FootnoteReference"/>
        </w:rPr>
        <w:footnoteReference w:id="46"/>
      </w:r>
      <w:r w:rsidRPr="0098059B">
        <w:t xml:space="preserve"> </w:t>
      </w:r>
    </w:p>
    <w:p w14:paraId="09A023C4" w14:textId="77777777" w:rsidR="00C82998" w:rsidRPr="00AB66DC" w:rsidRDefault="00C82998" w:rsidP="00C82998">
      <w:pPr>
        <w:spacing w:line="480" w:lineRule="auto"/>
        <w:ind w:right="95" w:firstLine="720"/>
        <w:jc w:val="both"/>
        <w:rPr>
          <w:highlight w:val="yellow"/>
        </w:rPr>
      </w:pPr>
      <w:r>
        <w:t xml:space="preserve">Understanding the impact of constitutionalizing parents’ rights also helps us reflect more broadly on the implications of constitutionalizing legal rights and their downstream impact on the development of law, especially family law. </w:t>
      </w:r>
      <w:r w:rsidRPr="004A287A">
        <w:t xml:space="preserve">Scholarship on constitutional rights and judicial adjudication has focused on indeterminacy and the difficulties of </w:t>
      </w:r>
      <w:r>
        <w:t>rights enforcement</w:t>
      </w:r>
      <w:r w:rsidRPr="004A287A">
        <w:t>,</w:t>
      </w:r>
      <w:r w:rsidRPr="001F71E0">
        <w:rPr>
          <w:rStyle w:val="FootnoteReference"/>
        </w:rPr>
        <w:footnoteReference w:id="47"/>
      </w:r>
      <w:r w:rsidRPr="004A287A">
        <w:t xml:space="preserve"> the tendency of rights to subordinate, legitimate th</w:t>
      </w:r>
      <w:r>
        <w:t>at</w:t>
      </w:r>
      <w:r w:rsidRPr="004A287A">
        <w:t xml:space="preserve"> subordination</w:t>
      </w:r>
      <w:r>
        <w:t>,</w:t>
      </w:r>
      <w:r w:rsidRPr="004A287A">
        <w:t xml:space="preserve"> and promote alienation,</w:t>
      </w:r>
      <w:r w:rsidRPr="001F71E0">
        <w:rPr>
          <w:rStyle w:val="FootnoteReference"/>
        </w:rPr>
        <w:footnoteReference w:id="48"/>
      </w:r>
      <w:r w:rsidRPr="004A287A">
        <w:t xml:space="preserve"> democratic deficits in judicial rights-adjudication,</w:t>
      </w:r>
      <w:r w:rsidRPr="001F71E0">
        <w:rPr>
          <w:rStyle w:val="FootnoteReference"/>
        </w:rPr>
        <w:footnoteReference w:id="49"/>
      </w:r>
      <w:r w:rsidRPr="004A287A">
        <w:t xml:space="preserve"> and rights-talk’s tendency to create social conflicts.</w:t>
      </w:r>
      <w:r w:rsidRPr="001F71E0">
        <w:rPr>
          <w:rStyle w:val="FootnoteReference"/>
        </w:rPr>
        <w:footnoteReference w:id="50"/>
      </w:r>
      <w:r w:rsidRPr="004A287A">
        <w:t xml:space="preserve"> However, scholars rarely look at how constitutionalizing a legal right can transform a body of law</w:t>
      </w:r>
      <w:r>
        <w:t xml:space="preserve">. </w:t>
      </w:r>
      <w:r w:rsidRPr="00C34CD4">
        <w:t xml:space="preserve">Moreover, they rarely attend to family law. I highlight a different perspective </w:t>
      </w:r>
      <w:r w:rsidRPr="00AB66DC">
        <w:t>on how we can think about rights by showing how constitutional parents’ rights structure parenthood law by introducing rigidities and flexibilities in the recognition of non-traditional families, thus both limiting and expanding the possibilities of legal change.</w:t>
      </w:r>
      <w:r w:rsidRPr="00C34CD4">
        <w:t xml:space="preserve">  </w:t>
      </w:r>
    </w:p>
    <w:p w14:paraId="5F88C734" w14:textId="77777777" w:rsidR="00C82998" w:rsidRDefault="00C82998" w:rsidP="00C82998">
      <w:pPr>
        <w:spacing w:line="480" w:lineRule="auto"/>
        <w:ind w:right="95" w:firstLine="720"/>
        <w:jc w:val="both"/>
      </w:pPr>
      <w:r>
        <w:t>This</w:t>
      </w:r>
      <w:r w:rsidRPr="00130A3C">
        <w:t xml:space="preserve"> account of parents</w:t>
      </w:r>
      <w:r>
        <w:t>’</w:t>
      </w:r>
      <w:r w:rsidRPr="00130A3C">
        <w:t xml:space="preserve"> rights contributing to equality-based arguments</w:t>
      </w:r>
      <w:r>
        <w:t xml:space="preserve"> differs from existing scholarly accounts of such rights, which focus on how they may undermine equality for disadvantaged groups or undercut the interests of children.</w:t>
      </w:r>
      <w:r w:rsidRPr="001F71E0">
        <w:rPr>
          <w:rStyle w:val="FootnoteReference"/>
        </w:rPr>
        <w:footnoteReference w:id="51"/>
      </w:r>
      <w:r>
        <w:t xml:space="preserve"> Instead, in my account, parents’ rights may, in part, contribute to progressive trends, such as the greater recognition of non-traditional families. Therefore, I identify a distinctive way of thinking about parents’ rights. </w:t>
      </w:r>
    </w:p>
    <w:p w14:paraId="1D4F0E27" w14:textId="77777777" w:rsidR="00C82998" w:rsidRDefault="00C82998" w:rsidP="00C82998">
      <w:pPr>
        <w:spacing w:line="480" w:lineRule="auto"/>
        <w:ind w:right="95" w:firstLine="720"/>
        <w:jc w:val="both"/>
      </w:pPr>
      <w:r>
        <w:lastRenderedPageBreak/>
        <w:t xml:space="preserve">Moreover, literature on comparative law often marginalizes family law due to the </w:t>
      </w:r>
      <w:proofErr w:type="spellStart"/>
      <w:r>
        <w:t>Savignian</w:t>
      </w:r>
      <w:proofErr w:type="spellEnd"/>
      <w:r>
        <w:t xml:space="preserve"> view that it represents the spirit of a nation’s people and, therefore, does not make for meaningful comparison and normative evaluation.</w:t>
      </w:r>
      <w:r w:rsidRPr="001F71E0">
        <w:rPr>
          <w:rStyle w:val="FootnoteReference"/>
        </w:rPr>
        <w:footnoteReference w:id="52"/>
      </w:r>
      <w:r>
        <w:t xml:space="preserve"> This contributes to and builds on the broader marginalization of family law in the legal academy.</w:t>
      </w:r>
      <w:r w:rsidRPr="001F71E0">
        <w:rPr>
          <w:rStyle w:val="FootnoteReference"/>
        </w:rPr>
        <w:footnoteReference w:id="53"/>
      </w:r>
      <w:r>
        <w:t xml:space="preserve"> However, this dogmatic view is now outdated and belies the law’s experience in recent decades. Similar functional developments, such as the rise of non-traditional families and the circulation of common legal concepts based on </w:t>
      </w:r>
      <w:proofErr w:type="spellStart"/>
      <w:r>
        <w:t>constitutionalization</w:t>
      </w:r>
      <w:proofErr w:type="spellEnd"/>
      <w:r>
        <w:t xml:space="preserve"> and human rights, have meant that family law frameworks in different countries show strikingly common features.</w:t>
      </w:r>
      <w:r w:rsidRPr="001F71E0">
        <w:rPr>
          <w:rStyle w:val="FootnoteReference"/>
        </w:rPr>
        <w:footnoteReference w:id="54"/>
      </w:r>
      <w:r>
        <w:t xml:space="preserve"> This is particularly visible in the law of parent-child relationships. </w:t>
      </w:r>
    </w:p>
    <w:p w14:paraId="7CDEB619" w14:textId="77777777" w:rsidR="00C82998" w:rsidRDefault="00C82998" w:rsidP="00C82998">
      <w:pPr>
        <w:spacing w:line="480" w:lineRule="auto"/>
        <w:ind w:right="95" w:firstLine="720"/>
        <w:jc w:val="both"/>
      </w:pPr>
      <w:r>
        <w:t>Unlike traditional comparative law literature that focuses on explaining divergences,</w:t>
      </w:r>
      <w:r w:rsidRPr="001F71E0">
        <w:rPr>
          <w:rStyle w:val="FootnoteReference"/>
        </w:rPr>
        <w:footnoteReference w:id="55"/>
      </w:r>
      <w:r>
        <w:t xml:space="preserve"> I use comparison as a tool of refraction to reflect on, ask new questions, and better understand the domestic legal system. While existing scholarship has focused on American and English family law, it rarely undertakes meaningful comparative work and almost never focuses on granular legal doctrine.</w:t>
      </w:r>
      <w:r w:rsidRPr="001F71E0">
        <w:rPr>
          <w:rStyle w:val="FootnoteReference"/>
        </w:rPr>
        <w:footnoteReference w:id="56"/>
      </w:r>
      <w:r>
        <w:t xml:space="preserve"> By bringing these two regimes in conversation with one another in the way that I do, I present a new template for doing comparative work. </w:t>
      </w:r>
    </w:p>
    <w:p w14:paraId="06FCC550" w14:textId="77777777" w:rsidR="00C82998" w:rsidRDefault="00C82998" w:rsidP="00C82998">
      <w:pPr>
        <w:spacing w:line="480" w:lineRule="auto"/>
        <w:ind w:right="95" w:firstLine="720"/>
        <w:jc w:val="both"/>
      </w:pPr>
      <w:r>
        <w:t xml:space="preserve">This Article proceeds in five parts. Part I gives a brief account of parenthood law’s evolution and the </w:t>
      </w:r>
      <w:proofErr w:type="spellStart"/>
      <w:r>
        <w:t>constitutionalization</w:t>
      </w:r>
      <w:proofErr w:type="spellEnd"/>
      <w:r>
        <w:t xml:space="preserve"> of parents’ rights. It argues how constitutional and </w:t>
      </w:r>
      <w:r>
        <w:lastRenderedPageBreak/>
        <w:t xml:space="preserve">strong parents’ rights enhance the significance of parental status and emphasize deference to that status. Part II explains the English law of parenthood and details how parents’ rights have not been similarly constitutionalized in England and, therefore, remain weak. Part III compares American law with English law to highlight two key features of American law – the emphasis on parenthood compared to the allocation of parental rights and responsibilities and the need to distinguish between parents and non-parents. Parts IV and V build on the comparative work in Part III to highlight two significant normative implications. Part IV shows how rigidities in the allocation of parental rights and responsibilities may make it harder to preserve children’s relationships with various adults. Part V points to a paradox, where an emphasis on parental status contributes to equality-based arguments for non-traditional families that have led to progressive trends, including facilitating plural paths to legal parenthood and the possibility of multi-parent families. I finally conclude by identifying a few concrete implications for the recognition of non-traditional families. </w:t>
      </w:r>
    </w:p>
    <w:p w14:paraId="2A2A34A7" w14:textId="77777777" w:rsidR="00C82998" w:rsidRDefault="00C82998" w:rsidP="00C82998">
      <w:pPr>
        <w:spacing w:line="480" w:lineRule="auto"/>
        <w:ind w:right="95" w:firstLine="720"/>
        <w:jc w:val="both"/>
      </w:pPr>
    </w:p>
    <w:p w14:paraId="1EF24B25" w14:textId="77777777" w:rsidR="00A8048A" w:rsidRDefault="00A8048A" w:rsidP="00C82998">
      <w:pPr>
        <w:spacing w:line="480" w:lineRule="auto"/>
      </w:pPr>
    </w:p>
    <w:sectPr w:rsidR="00A804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0D099" w14:textId="77777777" w:rsidR="00C82998" w:rsidRDefault="00C82998" w:rsidP="00C82998">
      <w:r>
        <w:separator/>
      </w:r>
    </w:p>
  </w:endnote>
  <w:endnote w:type="continuationSeparator" w:id="0">
    <w:p w14:paraId="4E128BEF" w14:textId="77777777" w:rsidR="00C82998" w:rsidRDefault="00C82998" w:rsidP="00C8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FB54B" w14:textId="77777777" w:rsidR="00C82998" w:rsidRDefault="00C82998" w:rsidP="00C82998">
      <w:r>
        <w:separator/>
      </w:r>
    </w:p>
  </w:footnote>
  <w:footnote w:type="continuationSeparator" w:id="0">
    <w:p w14:paraId="245A3D32" w14:textId="77777777" w:rsidR="00C82998" w:rsidRDefault="00C82998" w:rsidP="00C82998">
      <w:r>
        <w:continuationSeparator/>
      </w:r>
    </w:p>
  </w:footnote>
  <w:footnote w:id="1">
    <w:p w14:paraId="3032B30D" w14:textId="77777777" w:rsidR="00C82998" w:rsidRDefault="00C82998" w:rsidP="00C82998">
      <w:pPr>
        <w:pStyle w:val="FootnoteText"/>
        <w:jc w:val="both"/>
      </w:pPr>
      <w:r w:rsidRPr="002D0145">
        <w:rPr>
          <w:rStyle w:val="FootnoteReference"/>
        </w:rPr>
        <w:t>*</w:t>
      </w:r>
      <w:r w:rsidRPr="002D0145">
        <w:t xml:space="preserve"> J.S.D. Candidate, Yale Law School. I would like to thank Douglas </w:t>
      </w:r>
      <w:proofErr w:type="spellStart"/>
      <w:r w:rsidRPr="002D0145">
        <w:t>NeJaime</w:t>
      </w:r>
      <w:proofErr w:type="spellEnd"/>
      <w:r w:rsidRPr="002D0145">
        <w:t xml:space="preserve"> for conversations and comments on previous drafts. I am also grateful to Anne Alstott, Asli Bali, </w:t>
      </w:r>
      <w:proofErr w:type="spellStart"/>
      <w:r w:rsidRPr="002D0145">
        <w:t>Swethaa</w:t>
      </w:r>
      <w:proofErr w:type="spellEnd"/>
      <w:r w:rsidRPr="002D0145">
        <w:t xml:space="preserve"> </w:t>
      </w:r>
      <w:proofErr w:type="spellStart"/>
      <w:r w:rsidRPr="002D0145">
        <w:t>Ballakrishnen</w:t>
      </w:r>
      <w:proofErr w:type="spellEnd"/>
      <w:r w:rsidRPr="002D0145">
        <w:t xml:space="preserve">, Daniel Browning, </w:t>
      </w:r>
      <w:proofErr w:type="spellStart"/>
      <w:r w:rsidRPr="002D0145">
        <w:t>Doruk</w:t>
      </w:r>
      <w:proofErr w:type="spellEnd"/>
      <w:r w:rsidRPr="002D0145">
        <w:t xml:space="preserve"> Erhan, William Eskridge, </w:t>
      </w:r>
      <w:proofErr w:type="spellStart"/>
      <w:r w:rsidRPr="002D0145">
        <w:t>Xialou</w:t>
      </w:r>
      <w:proofErr w:type="spellEnd"/>
      <w:r w:rsidRPr="002D0145">
        <w:t xml:space="preserve"> Fan,</w:t>
      </w:r>
      <w:r>
        <w:t xml:space="preserve"> Lea Godbout,</w:t>
      </w:r>
      <w:r w:rsidRPr="002D0145">
        <w:t xml:space="preserve"> Clare Huntington</w:t>
      </w:r>
      <w:r>
        <w:t>,</w:t>
      </w:r>
      <w:r w:rsidRPr="002D0145">
        <w:t xml:space="preserve"> Courtney Joslin, </w:t>
      </w:r>
      <w:r>
        <w:t xml:space="preserve">Amy </w:t>
      </w:r>
      <w:proofErr w:type="spellStart"/>
      <w:r>
        <w:t>Kapczynski</w:t>
      </w:r>
      <w:proofErr w:type="spellEnd"/>
      <w:r>
        <w:t xml:space="preserve">, </w:t>
      </w:r>
      <w:r w:rsidRPr="002D0145">
        <w:t>Elizabeth Katz,</w:t>
      </w:r>
      <w:r>
        <w:t xml:space="preserve"> </w:t>
      </w:r>
      <w:r w:rsidRPr="002D0145">
        <w:t xml:space="preserve">Rama Kim, Alice </w:t>
      </w:r>
      <w:proofErr w:type="spellStart"/>
      <w:r w:rsidRPr="002D0145">
        <w:t>Margaria</w:t>
      </w:r>
      <w:proofErr w:type="spellEnd"/>
      <w:r w:rsidRPr="002D0145">
        <w:t xml:space="preserve">, </w:t>
      </w:r>
      <w:r>
        <w:t xml:space="preserve">Patricia Cruz-Marin, </w:t>
      </w:r>
      <w:r w:rsidRPr="002D0145">
        <w:t xml:space="preserve">Nora </w:t>
      </w:r>
      <w:proofErr w:type="spellStart"/>
      <w:r w:rsidRPr="002D0145">
        <w:t>Markard</w:t>
      </w:r>
      <w:proofErr w:type="spellEnd"/>
      <w:r w:rsidRPr="002D0145">
        <w:t xml:space="preserve">, Daniel Markovits, Sam </w:t>
      </w:r>
      <w:proofErr w:type="spellStart"/>
      <w:r w:rsidRPr="002D0145">
        <w:t>Moyn</w:t>
      </w:r>
      <w:proofErr w:type="spellEnd"/>
      <w:r w:rsidRPr="002D0145">
        <w:t xml:space="preserve">, Noy Naaman, </w:t>
      </w:r>
      <w:r>
        <w:t>Clare Ryan,</w:t>
      </w:r>
      <w:r w:rsidRPr="002D0145">
        <w:t xml:space="preserve"> Kate </w:t>
      </w:r>
      <w:proofErr w:type="spellStart"/>
      <w:r w:rsidRPr="002D0145">
        <w:t>Silbaugh</w:t>
      </w:r>
      <w:proofErr w:type="spellEnd"/>
      <w:r w:rsidRPr="002D0145">
        <w:t xml:space="preserve">, Emily </w:t>
      </w:r>
      <w:proofErr w:type="spellStart"/>
      <w:r w:rsidRPr="002D0145">
        <w:t>Stolzenberg</w:t>
      </w:r>
      <w:proofErr w:type="spellEnd"/>
      <w:r w:rsidRPr="002D0145">
        <w:t>, Gregg Strauss, Allison Tait,</w:t>
      </w:r>
      <w:r>
        <w:t xml:space="preserve"> Sofia Trevino,</w:t>
      </w:r>
      <w:r w:rsidRPr="002D0145">
        <w:t xml:space="preserve"> Jessica </w:t>
      </w:r>
      <w:proofErr w:type="spellStart"/>
      <w:r w:rsidRPr="002D0145">
        <w:t>Tueller</w:t>
      </w:r>
      <w:proofErr w:type="spellEnd"/>
      <w:r w:rsidRPr="002D0145">
        <w:t>, Stephanie Tang, Pamela Laufer-</w:t>
      </w:r>
      <w:proofErr w:type="spellStart"/>
      <w:r w:rsidRPr="002D0145">
        <w:t>Ukeles</w:t>
      </w:r>
      <w:proofErr w:type="spellEnd"/>
      <w:r w:rsidRPr="002D0145">
        <w:t>, Maggie Wang, James Whitman, and participants at the Yale Law School Doctoral Colloquium, Law and Society Association Annual Meeting, Denver (2024), and the Family Law Scholars and Teachers’ Conference, Baltimore (2024) for helpful conversations and feedback.</w:t>
      </w:r>
      <w:r>
        <w:t xml:space="preserve"> A previous draft of this article was awarded the 2024 Colin Picker Graduate Prize from the American Society of Comparative Law.</w:t>
      </w:r>
    </w:p>
    <w:p w14:paraId="240BBF09" w14:textId="77777777" w:rsidR="00C82998" w:rsidRDefault="00C82998" w:rsidP="00C82998">
      <w:pPr>
        <w:pStyle w:val="FootnoteText"/>
        <w:jc w:val="both"/>
      </w:pPr>
      <w:r>
        <w:rPr>
          <w:rStyle w:val="FootnoteReference"/>
        </w:rPr>
        <w:footnoteRef/>
      </w:r>
      <w:r>
        <w:t xml:space="preserve"> A</w:t>
      </w:r>
      <w:r w:rsidRPr="0089281D">
        <w:t>ccording to the Department of Health and Human Services</w:t>
      </w:r>
      <w:r>
        <w:t>,</w:t>
      </w:r>
      <w:r w:rsidRPr="0089281D">
        <w:t xml:space="preserve"> in 2021 86,146 infants were conceived through ART, primarily in vitro fertilization,</w:t>
      </w:r>
      <w:r>
        <w:t xml:space="preserve"> </w:t>
      </w:r>
      <w:r w:rsidRPr="00B77F8A">
        <w:rPr>
          <w:smallCaps/>
        </w:rPr>
        <w:t>U.S. Dep. of Health and Human Services</w:t>
      </w:r>
      <w:r>
        <w:t xml:space="preserve">, </w:t>
      </w:r>
      <w:r w:rsidRPr="00EF5E41">
        <w:rPr>
          <w:smallCaps/>
        </w:rPr>
        <w:t>Fact Sheet: In Vitro Fertilization (IVF) Use Across the United States</w:t>
      </w:r>
      <w:r>
        <w:rPr>
          <w:smallCaps/>
        </w:rPr>
        <w:t xml:space="preserve"> (2024),</w:t>
      </w:r>
      <w:r w:rsidRPr="004A4BEB">
        <w:t xml:space="preserve"> </w:t>
      </w:r>
      <w:r w:rsidRPr="00473D02">
        <w:t>https://www.hhs.gov/about/news/2024/03/13/fact-sheet-in-vitro-fertilization-ivf-use-across-united-states.html</w:t>
      </w:r>
      <w:r>
        <w:t xml:space="preserve">. </w:t>
      </w:r>
      <w:r w:rsidRPr="0089281D">
        <w:t>This</w:t>
      </w:r>
      <w:r>
        <w:t xml:space="preserve"> data</w:t>
      </w:r>
      <w:r w:rsidRPr="0089281D">
        <w:t xml:space="preserve"> does not include</w:t>
      </w:r>
      <w:r>
        <w:t xml:space="preserve"> figures on</w:t>
      </w:r>
      <w:r w:rsidRPr="0089281D">
        <w:t xml:space="preserve"> donor insemination which may be a </w:t>
      </w:r>
      <w:r>
        <w:t>larger</w:t>
      </w:r>
      <w:r w:rsidRPr="0089281D">
        <w:t xml:space="preserve"> number due to high</w:t>
      </w:r>
      <w:r>
        <w:t>er</w:t>
      </w:r>
      <w:r w:rsidRPr="0089281D">
        <w:t xml:space="preserve"> prevalence</w:t>
      </w:r>
      <w:r>
        <w:t>.</w:t>
      </w:r>
    </w:p>
  </w:footnote>
  <w:footnote w:id="2">
    <w:p w14:paraId="71AC706B" w14:textId="77777777" w:rsidR="00C82998" w:rsidRDefault="00C82998" w:rsidP="00C82998">
      <w:pPr>
        <w:pStyle w:val="FootnoteText"/>
        <w:jc w:val="both"/>
      </w:pPr>
      <w:r w:rsidRPr="001F71E0">
        <w:rPr>
          <w:rStyle w:val="FootnoteReference"/>
        </w:rPr>
        <w:footnoteRef/>
      </w:r>
      <w:r>
        <w:t xml:space="preserve"> According to the U.S. Census Bureau fifteen percent of the 1.1 million same-sex couples had at least one child in their household in 2019, </w:t>
      </w:r>
      <w:r w:rsidRPr="00C82662">
        <w:rPr>
          <w:smallCaps/>
        </w:rPr>
        <w:t>United States Census Bureau</w:t>
      </w:r>
      <w:r>
        <w:t xml:space="preserve">, </w:t>
      </w:r>
      <w:r w:rsidRPr="00C82662">
        <w:rPr>
          <w:smallCaps/>
        </w:rPr>
        <w:t>Same-Sex Couples Are More Likely to Adopt or Foster Children,</w:t>
      </w:r>
      <w:r>
        <w:t xml:space="preserve"> </w:t>
      </w:r>
      <w:r w:rsidRPr="00E63879">
        <w:t>https://www.census.gov/library/stories/2020/09/fifteen-percent-of-same-sex-couples-have-children-in-their-household.html</w:t>
      </w:r>
      <w:r>
        <w:t>.</w:t>
      </w:r>
    </w:p>
  </w:footnote>
  <w:footnote w:id="3">
    <w:p w14:paraId="7F61A2E4" w14:textId="77777777" w:rsidR="00C82998" w:rsidRDefault="00C82998" w:rsidP="00C82998">
      <w:pPr>
        <w:pStyle w:val="FootnoteText"/>
        <w:jc w:val="both"/>
      </w:pPr>
      <w:r w:rsidRPr="001F71E0">
        <w:rPr>
          <w:rStyle w:val="FootnoteReference"/>
        </w:rPr>
        <w:footnoteRef/>
      </w:r>
      <w:r>
        <w:t xml:space="preserve"> According to the U.S. Census Bureau in 2019 around 2,966,000 children were living with neither parent of which 1,577,000 were living with grandparents only, and around 9.9% of all children lived in multi-generational households, Lydia R. Anderson, Paul F. </w:t>
      </w:r>
      <w:proofErr w:type="spellStart"/>
      <w:r>
        <w:t>Hemez</w:t>
      </w:r>
      <w:proofErr w:type="spellEnd"/>
      <w:r>
        <w:t xml:space="preserve"> &amp; Rose M. Kreider, </w:t>
      </w:r>
      <w:r w:rsidRPr="00C82662">
        <w:rPr>
          <w:i/>
          <w:iCs/>
        </w:rPr>
        <w:t xml:space="preserve">Living Arrangements of Children: </w:t>
      </w:r>
      <w:r>
        <w:rPr>
          <w:i/>
          <w:iCs/>
        </w:rPr>
        <w:t>2019</w:t>
      </w:r>
      <w:r>
        <w:t xml:space="preserve">, </w:t>
      </w:r>
      <w:r w:rsidRPr="00C82662">
        <w:rPr>
          <w:smallCaps/>
        </w:rPr>
        <w:t>United States Census Bureau</w:t>
      </w:r>
      <w:r>
        <w:rPr>
          <w:smallCaps/>
        </w:rPr>
        <w:t xml:space="preserve"> </w:t>
      </w:r>
      <w:r>
        <w:t>3, 10 (2022).</w:t>
      </w:r>
    </w:p>
  </w:footnote>
  <w:footnote w:id="4">
    <w:p w14:paraId="5FB305EE" w14:textId="77777777" w:rsidR="00C82998" w:rsidRDefault="00C82998" w:rsidP="00C82998">
      <w:pPr>
        <w:pStyle w:val="FootnoteText"/>
        <w:jc w:val="both"/>
      </w:pPr>
      <w:r w:rsidRPr="001F71E0">
        <w:rPr>
          <w:rStyle w:val="FootnoteReference"/>
        </w:rPr>
        <w:footnoteRef/>
      </w:r>
      <w:r>
        <w:t xml:space="preserve"> For an overview of such laws across states see </w:t>
      </w:r>
      <w:r w:rsidRPr="00FA76D8">
        <w:rPr>
          <w:i/>
          <w:iCs/>
        </w:rPr>
        <w:t>Parental Recognition Laws</w:t>
      </w:r>
      <w:r w:rsidRPr="00FA76D8">
        <w:rPr>
          <w:smallCaps/>
        </w:rPr>
        <w:t>, Movement Advancement Project</w:t>
      </w:r>
      <w:r>
        <w:t xml:space="preserve">, </w:t>
      </w:r>
      <w:r w:rsidRPr="00DE558C">
        <w:t>https://www.lgbtmap.org/equality-maps/recognition/parenting</w:t>
      </w:r>
      <w:r>
        <w:t xml:space="preserve"> (last visited July 7, 2024). For how these developments span political divides, see </w:t>
      </w:r>
      <w:r>
        <w:fldChar w:fldCharType="begin"/>
      </w:r>
      <w:r>
        <w:instrText xml:space="preserve"> ADDIN ZOTERO_ITEM CSL_CITATION {"citationID":"79ezkzI4","properties":{"formattedCitation":"Courtney G. Joslin &amp; Douglas NeJaime, {\\i{}How Parenthood Functions}, 123 {\\scaps Colum. L. Rev.} 319 (2023).","plainCitation":"Courtney G. Joslin &amp; Douglas NeJaime, How Parenthood Functions, 123 Colum. L. Rev. 319 (2023).","dontUpdate":true,"noteIndex":4},"citationItems":[{"id":4407,"uris":["http://zotero.org/users/local/Fg4jzsqf/items/K8PFEANQ","http://zotero.org/users/14209839/items/K8PFEANQ"],"itemData":{"id":4407,"type":"article-journal","container-title":"Columbia Law Review","issue":"2","journalAbbreviation":"Colum. L. Rev.","language":"eng","page":"319-434","source":"HeinOnline","title":"How Parenthood Functions","volume":"123","author":[{"family":"Joslin","given":"Courtney G."},{"family":"NeJaime","given":"Douglas"}],"issued":{"date-parts":[["2023"]]},"citation-key":"joslinHowParenthoodFunctions2023"}}],"schema":"https://github.com/citation-style-language/schema/raw/master/csl-citation.json"} </w:instrText>
      </w:r>
      <w:r>
        <w:fldChar w:fldCharType="separate"/>
      </w:r>
      <w:r w:rsidRPr="000B3613">
        <w:rPr>
          <w:rFonts w:cs="Times New Roman"/>
          <w:lang w:val="en-GB"/>
        </w:rPr>
        <w:t xml:space="preserve">Courtney G. Joslin &amp; Douglas </w:t>
      </w:r>
      <w:proofErr w:type="spellStart"/>
      <w:r w:rsidRPr="000B3613">
        <w:rPr>
          <w:rFonts w:cs="Times New Roman"/>
          <w:lang w:val="en-GB"/>
        </w:rPr>
        <w:t>NeJaime</w:t>
      </w:r>
      <w:proofErr w:type="spellEnd"/>
      <w:r w:rsidRPr="000B3613">
        <w:rPr>
          <w:rFonts w:cs="Times New Roman"/>
          <w:lang w:val="en-GB"/>
        </w:rPr>
        <w:t xml:space="preserve">, </w:t>
      </w:r>
      <w:r w:rsidRPr="000B3613">
        <w:rPr>
          <w:rFonts w:cs="Times New Roman"/>
          <w:i/>
          <w:iCs/>
          <w:lang w:val="en-GB"/>
        </w:rPr>
        <w:t>How Parenthood Functions</w:t>
      </w:r>
      <w:r w:rsidRPr="000B3613">
        <w:rPr>
          <w:rFonts w:cs="Times New Roman"/>
          <w:lang w:val="en-GB"/>
        </w:rPr>
        <w:t xml:space="preserve">, 123 </w:t>
      </w:r>
      <w:r w:rsidRPr="000B3613">
        <w:rPr>
          <w:rFonts w:cs="Times New Roman"/>
          <w:smallCaps/>
          <w:lang w:val="en-GB"/>
        </w:rPr>
        <w:t>Colum. L. Rev.</w:t>
      </w:r>
      <w:r w:rsidRPr="000B3613">
        <w:rPr>
          <w:rFonts w:cs="Times New Roman"/>
          <w:lang w:val="en-GB"/>
        </w:rPr>
        <w:t xml:space="preserve"> 319</w:t>
      </w:r>
      <w:r>
        <w:rPr>
          <w:rFonts w:cs="Times New Roman"/>
          <w:lang w:val="en-GB"/>
        </w:rPr>
        <w:t>, 345</w:t>
      </w:r>
      <w:r w:rsidRPr="000B3613">
        <w:rPr>
          <w:rFonts w:cs="Times New Roman"/>
          <w:lang w:val="en-GB"/>
        </w:rPr>
        <w:t xml:space="preserve"> (2023)</w:t>
      </w:r>
      <w:r>
        <w:rPr>
          <w:rFonts w:cs="Times New Roman"/>
          <w:lang w:val="en-GB"/>
        </w:rPr>
        <w:t>;</w:t>
      </w:r>
      <w:r>
        <w:fldChar w:fldCharType="end"/>
      </w:r>
      <w:r>
        <w:t xml:space="preserve"> </w:t>
      </w:r>
      <w:r>
        <w:fldChar w:fldCharType="begin"/>
      </w:r>
      <w:r>
        <w:instrText xml:space="preserve"> ADDIN ZOTERO_ITEM CSL_CITATION {"citationID":"yNGExiKD","properties":{"formattedCitation":"Clare Huntington, {\\i{}Pragmatic Family Law}, 136 {\\scaps Harv. L. Rev.} 1501 (2022).","plainCitation":"Clare Huntington, Pragmatic Family Law, 136 Harv. L. Rev. 1501 (2022).","dontUpdate":true,"noteIndex":4},"citationItems":[{"id":4870,"uris":["http://zotero.org/users/14209839/items/6CVIR6XJ"],"itemData":{"id":4870,"type":"article-journal","container-title":"Harvard Law Review","issue":"6","journalAbbreviation":"Harv. L. Rev.","language":"eng","page":"1501-1584","source":"HeinOnline","title":"Pragmatic Family Law","volume":"136","author":[{"family":"Huntington","given":"Clare"}],"issued":{"date-parts":[["2022"]],"season":"2023"},"citation-key":"huntingtonPragmaticFamilyLaw2022"}}],"schema":"https://github.com/citation-style-language/schema/raw/master/csl-citation.json"} </w:instrText>
      </w:r>
      <w:r>
        <w:fldChar w:fldCharType="separate"/>
      </w:r>
      <w:r w:rsidRPr="001F1335">
        <w:rPr>
          <w:rFonts w:cs="Times New Roman"/>
          <w:lang w:val="en-GB"/>
        </w:rPr>
        <w:t xml:space="preserve">Clare Huntington, </w:t>
      </w:r>
      <w:r w:rsidRPr="001F1335">
        <w:rPr>
          <w:rFonts w:cs="Times New Roman"/>
          <w:i/>
          <w:iCs/>
          <w:lang w:val="en-GB"/>
        </w:rPr>
        <w:t>Pragmatic Family Law</w:t>
      </w:r>
      <w:r w:rsidRPr="001F1335">
        <w:rPr>
          <w:rFonts w:cs="Times New Roman"/>
          <w:lang w:val="en-GB"/>
        </w:rPr>
        <w:t xml:space="preserve">, 136 </w:t>
      </w:r>
      <w:r w:rsidRPr="001F1335">
        <w:rPr>
          <w:rFonts w:cs="Times New Roman"/>
          <w:smallCaps/>
          <w:lang w:val="en-GB"/>
        </w:rPr>
        <w:t>Harv. L. Rev.</w:t>
      </w:r>
      <w:r w:rsidRPr="001F1335">
        <w:rPr>
          <w:rFonts w:cs="Times New Roman"/>
          <w:lang w:val="en-GB"/>
        </w:rPr>
        <w:t xml:space="preserve"> 1501</w:t>
      </w:r>
      <w:r>
        <w:rPr>
          <w:rFonts w:cs="Times New Roman"/>
          <w:lang w:val="en-GB"/>
        </w:rPr>
        <w:t xml:space="preserve">, 1534 </w:t>
      </w:r>
      <w:r w:rsidRPr="001F1335">
        <w:rPr>
          <w:rFonts w:cs="Times New Roman"/>
          <w:lang w:val="en-GB"/>
        </w:rPr>
        <w:t>(2022).</w:t>
      </w:r>
      <w:r>
        <w:fldChar w:fldCharType="end"/>
      </w:r>
    </w:p>
  </w:footnote>
  <w:footnote w:id="5">
    <w:p w14:paraId="71F75419" w14:textId="77777777" w:rsidR="00C82998" w:rsidRDefault="00C82998" w:rsidP="00C82998">
      <w:pPr>
        <w:pStyle w:val="FootnoteText"/>
        <w:jc w:val="both"/>
      </w:pPr>
      <w:r w:rsidRPr="001F71E0">
        <w:rPr>
          <w:rStyle w:val="FootnoteReference"/>
        </w:rPr>
        <w:footnoteRef/>
      </w:r>
      <w:r>
        <w:t xml:space="preserve"> Leading civil rights organizations focus on parenthood law reform, </w:t>
      </w:r>
      <w:r w:rsidRPr="006E6C2D">
        <w:rPr>
          <w:i/>
          <w:iCs/>
        </w:rPr>
        <w:t xml:space="preserve">see </w:t>
      </w:r>
      <w:r w:rsidRPr="008209A2">
        <w:rPr>
          <w:i/>
          <w:iCs/>
        </w:rPr>
        <w:t>Relationships at Risk: Why We Need to Update State Parentage Laws to Protect Children and Families</w:t>
      </w:r>
      <w:r>
        <w:t xml:space="preserve">, </w:t>
      </w:r>
      <w:r w:rsidRPr="008209A2">
        <w:rPr>
          <w:smallCaps/>
        </w:rPr>
        <w:t>Movement Advancement Project</w:t>
      </w:r>
      <w:r>
        <w:t xml:space="preserve"> (2023), </w:t>
      </w:r>
      <w:r w:rsidRPr="00B70329">
        <w:t>https://www.mapresearch.org/2023-parentage-report</w:t>
      </w:r>
      <w:r>
        <w:t xml:space="preserve"> (last visited Jan. 20, 2025); </w:t>
      </w:r>
      <w:r w:rsidRPr="008209A2">
        <w:rPr>
          <w:i/>
          <w:iCs/>
        </w:rPr>
        <w:t>Establishing Legal Parent-Child Relationships</w:t>
      </w:r>
      <w:r>
        <w:t xml:space="preserve">, </w:t>
      </w:r>
      <w:r w:rsidRPr="008209A2">
        <w:rPr>
          <w:smallCaps/>
        </w:rPr>
        <w:t>American Civil Liberties Union</w:t>
      </w:r>
      <w:r>
        <w:t xml:space="preserve">, </w:t>
      </w:r>
      <w:r w:rsidRPr="0088377C">
        <w:t>https://www.aclu.org/issues/lgbtq-rights/lgbtq-parenting/establishing-legal-parent-child-relationships</w:t>
      </w:r>
      <w:r>
        <w:t xml:space="preserve"> (last visited Jan. 20, 2025); </w:t>
      </w:r>
      <w:r w:rsidRPr="00AC6FB9">
        <w:rPr>
          <w:i/>
          <w:iCs/>
        </w:rPr>
        <w:t>Assisted Reproduction</w:t>
      </w:r>
      <w:r>
        <w:t xml:space="preserve">, </w:t>
      </w:r>
      <w:r w:rsidRPr="00AC6FB9">
        <w:rPr>
          <w:smallCaps/>
        </w:rPr>
        <w:t>Center for Reproductive Rights</w:t>
      </w:r>
      <w:r>
        <w:t xml:space="preserve">, </w:t>
      </w:r>
      <w:r w:rsidRPr="00AA6265">
        <w:t>https://reproductiverights.org/our-issues/assisted-reproduction/</w:t>
      </w:r>
      <w:r>
        <w:t xml:space="preserve"> (last visited Jan 20, 2025). </w:t>
      </w:r>
    </w:p>
  </w:footnote>
  <w:footnote w:id="6">
    <w:p w14:paraId="38623EB7" w14:textId="77777777" w:rsidR="00C82998" w:rsidRDefault="00C82998" w:rsidP="00C82998">
      <w:pPr>
        <w:pStyle w:val="FootnoteText"/>
        <w:jc w:val="both"/>
      </w:pPr>
      <w:r w:rsidRPr="001F71E0">
        <w:rPr>
          <w:rStyle w:val="FootnoteReference"/>
        </w:rPr>
        <w:footnoteRef/>
      </w:r>
      <w:r>
        <w:t xml:space="preserve"> I am conscious that the term ‘non-traditional families’ might contribute to the idea of a hierarchy of families, however, that is not my intention. I merely use it as a convenient way to refer to all families that do not adhere to </w:t>
      </w:r>
      <w:r w:rsidRPr="0089281D">
        <w:t>the heterosexual family model and the norm of biological reproduction.</w:t>
      </w:r>
    </w:p>
  </w:footnote>
  <w:footnote w:id="7">
    <w:p w14:paraId="2C0CC115" w14:textId="77777777" w:rsidR="00C82998" w:rsidRDefault="00C82998" w:rsidP="00C82998">
      <w:pPr>
        <w:pStyle w:val="FootnoteText"/>
        <w:jc w:val="both"/>
      </w:pPr>
      <w:r w:rsidRPr="001F71E0">
        <w:rPr>
          <w:rStyle w:val="FootnoteReference"/>
        </w:rPr>
        <w:footnoteRef/>
      </w:r>
      <w:r>
        <w:t xml:space="preserve"> </w:t>
      </w:r>
      <w:r w:rsidRPr="00AA6265">
        <w:rPr>
          <w:i/>
          <w:iCs/>
        </w:rPr>
        <w:t>See generally</w:t>
      </w:r>
      <w:r>
        <w:t xml:space="preserve"> </w:t>
      </w:r>
      <w:r>
        <w:fldChar w:fldCharType="begin"/>
      </w:r>
      <w:r>
        <w:instrText xml:space="preserve"> ADDIN ZOTERO_ITEM CSL_CITATION {"citationID":"BMBkZ7fq","properties":{"formattedCitation":"Douglas Nejaime, {\\i{}The Nature of Parenthood}, 126 {\\scaps Yale L. J.} 2260 (2016); Douglas NeJaime, {\\i{}Marriage Equality and the New Parenthood}, 129 {\\scaps Harvard Law Review} 1185 (2016).","plainCitation":"Douglas Nejaime, The Nature of Parenthood, 126 Yale L. J. 2260 (2016); Douglas NeJaime, Marriage Equality and the New Parenthood, 129 Harvard Law Review 1185 (2016).","dontUpdate":true,"noteIndex":7},"citationItems":[{"id":2976,"uris":["http://zotero.org/users/local/Fg4jzsqf/items/F4UW3HRC","http://zotero.org/users/14209839/items/F4UW3HRC"],"itemData":{"id":2976,"type":"article-journal","container-title":"Yale Law Journal","issue":"8","journalAbbreviation":"Yale L. J.","language":"eng","page":"2260-2381","source":"HeinOnline","title":"The Nature of Parenthood","volume":"126","author":[{"family":"Nejaime","given":"Douglas"}],"issued":{"date-parts":[["2016"]],"season":"2017"},"citation-key":"nejaimeNatureParenthood2016"}},{"id":2974,"uris":["http://zotero.org/users/14209839/items/UH9EEVNT"],"itemData":{"id":2974,"type":"article-journal","abstract":"Now that same-sex couples have a nationwide right to marry, a new generation of questions about the legal regulation of the family is emerging. While integral to the future of same-sex family formation, these questions also implicate the family law regime more generally. By integrating developments in family law governing different-sex and same-sex couples, biological and nonbiological parents, and marital and nonmarital families, this Article shows how marriage equality was enabled by — and in turn enables — significant shifts in the law's understanding of parenthood. Using a case study of legal efforts in California from the mid-1980s to the mid-2000s, this Article recovers the role of marriage in early LGBT parenting litigation on behalf of unmarried parents. It shows how that litigation reshaped norms governing marriage and parenthood. In the late twentieth century, the law increasingly recognized (presumptively heterosexual) parents on grounds independent of marriage and biology. As the law protected the rights of unmarried, biological fathers, it also began to recognize married, nonbiological parents, largely in response to families formed through assisted reproductive technologies (ART) and to stepparent families. LGBT advocates leveraged both developments to elaborate a new model of parenthood capable of recognizing their constituents' nonmarital, nonbiological parent-child relationships. Eschewing formal parentage markers — including biology, gender, and marital status — advocates instead built parentage around intentional and functional relationships. This new model of parenthood is embedded in marriage equality and is extended through a family law regime in which same-sex couples can marry. By uncovering these transformative aspects of marriage equality, this Article challenges some of the historical, normative, and predictive dimensions of prominent critiques of same-sex marriage as conservative and assimilationist. More broadly, it reveals how marriage equality can facilitate the expansion of intentional and functional parenthood for all families, and thereby can continue to reduce distinctions between same-sex and different-sex couples, biological and nonbiological parents, and perhaps even marital and nonmarital families.","container-title":"Harvard Law Review","ISSN":"0017-811X","issue":"5","note":"publisher: The Harvard Law Review Association","page":"1185-1266","source":"JSTOR","title":"Marriage Equality and the New Parenthood","volume":"129","author":[{"family":"NeJaime","given":"Douglas"}],"issued":{"date-parts":[["2016"]]},"citation-key":"nejaimeMarriageEqualityNew2016a"}}],"schema":"https://github.com/citation-style-language/schema/raw/master/csl-citation.json"} </w:instrText>
      </w:r>
      <w:r>
        <w:fldChar w:fldCharType="separate"/>
      </w:r>
      <w:r w:rsidRPr="0021115D">
        <w:rPr>
          <w:rFonts w:cs="Times New Roman"/>
          <w:lang w:val="en-GB"/>
        </w:rPr>
        <w:t xml:space="preserve">Douglas </w:t>
      </w:r>
      <w:proofErr w:type="spellStart"/>
      <w:r w:rsidRPr="0021115D">
        <w:rPr>
          <w:rFonts w:cs="Times New Roman"/>
          <w:lang w:val="en-GB"/>
        </w:rPr>
        <w:t>Ne</w:t>
      </w:r>
      <w:r>
        <w:rPr>
          <w:rFonts w:cs="Times New Roman"/>
          <w:lang w:val="en-GB"/>
        </w:rPr>
        <w:t>J</w:t>
      </w:r>
      <w:r w:rsidRPr="0021115D">
        <w:rPr>
          <w:rFonts w:cs="Times New Roman"/>
          <w:lang w:val="en-GB"/>
        </w:rPr>
        <w:t>aime</w:t>
      </w:r>
      <w:proofErr w:type="spellEnd"/>
      <w:r w:rsidRPr="0021115D">
        <w:rPr>
          <w:rFonts w:cs="Times New Roman"/>
          <w:lang w:val="en-GB"/>
        </w:rPr>
        <w:t xml:space="preserve">, </w:t>
      </w:r>
      <w:r w:rsidRPr="0021115D">
        <w:rPr>
          <w:rFonts w:cs="Times New Roman"/>
          <w:i/>
          <w:iCs/>
          <w:lang w:val="en-GB"/>
        </w:rPr>
        <w:t>The Nature of Parenthood</w:t>
      </w:r>
      <w:r w:rsidRPr="0021115D">
        <w:rPr>
          <w:rFonts w:cs="Times New Roman"/>
          <w:lang w:val="en-GB"/>
        </w:rPr>
        <w:t xml:space="preserve">, 126 </w:t>
      </w:r>
      <w:r w:rsidRPr="0021115D">
        <w:rPr>
          <w:rFonts w:cs="Times New Roman"/>
          <w:smallCaps/>
          <w:lang w:val="en-GB"/>
        </w:rPr>
        <w:t>Yale L. J.</w:t>
      </w:r>
      <w:r w:rsidRPr="0021115D">
        <w:rPr>
          <w:rFonts w:cs="Times New Roman"/>
          <w:lang w:val="en-GB"/>
        </w:rPr>
        <w:t xml:space="preserve"> 2260 (2016)</w:t>
      </w:r>
      <w:r>
        <w:rPr>
          <w:rFonts w:cs="Times New Roman"/>
          <w:lang w:val="en-GB"/>
        </w:rPr>
        <w:t xml:space="preserve"> [hereinafter, </w:t>
      </w:r>
      <w:proofErr w:type="spellStart"/>
      <w:r>
        <w:rPr>
          <w:rFonts w:cs="Times New Roman"/>
          <w:lang w:val="en-GB"/>
        </w:rPr>
        <w:t>NeJaime</w:t>
      </w:r>
      <w:proofErr w:type="spellEnd"/>
      <w:r>
        <w:rPr>
          <w:rFonts w:cs="Times New Roman"/>
          <w:lang w:val="en-GB"/>
        </w:rPr>
        <w:t>, Nature]</w:t>
      </w:r>
      <w:r w:rsidRPr="0021115D">
        <w:rPr>
          <w:rFonts w:cs="Times New Roman"/>
          <w:lang w:val="en-GB"/>
        </w:rPr>
        <w:t xml:space="preserve">; Douglas </w:t>
      </w:r>
      <w:proofErr w:type="spellStart"/>
      <w:r w:rsidRPr="0021115D">
        <w:rPr>
          <w:rFonts w:cs="Times New Roman"/>
          <w:lang w:val="en-GB"/>
        </w:rPr>
        <w:t>NeJaime</w:t>
      </w:r>
      <w:proofErr w:type="spellEnd"/>
      <w:r w:rsidRPr="0021115D">
        <w:rPr>
          <w:rFonts w:cs="Times New Roman"/>
          <w:lang w:val="en-GB"/>
        </w:rPr>
        <w:t xml:space="preserve">, </w:t>
      </w:r>
      <w:r w:rsidRPr="0021115D">
        <w:rPr>
          <w:rFonts w:cs="Times New Roman"/>
          <w:i/>
          <w:iCs/>
          <w:lang w:val="en-GB"/>
        </w:rPr>
        <w:t>Marriage Equality and the New Parenthood</w:t>
      </w:r>
      <w:r w:rsidRPr="0021115D">
        <w:rPr>
          <w:rFonts w:cs="Times New Roman"/>
          <w:lang w:val="en-GB"/>
        </w:rPr>
        <w:t xml:space="preserve">, 129 </w:t>
      </w:r>
      <w:r w:rsidRPr="0021115D">
        <w:rPr>
          <w:rFonts w:cs="Times New Roman"/>
          <w:smallCaps/>
          <w:lang w:val="en-GB"/>
        </w:rPr>
        <w:t>Harv</w:t>
      </w:r>
      <w:r>
        <w:rPr>
          <w:rFonts w:cs="Times New Roman"/>
          <w:smallCaps/>
          <w:lang w:val="en-GB"/>
        </w:rPr>
        <w:t>.</w:t>
      </w:r>
      <w:r w:rsidRPr="0021115D">
        <w:rPr>
          <w:rFonts w:cs="Times New Roman"/>
          <w:smallCaps/>
          <w:lang w:val="en-GB"/>
        </w:rPr>
        <w:t xml:space="preserve"> L</w:t>
      </w:r>
      <w:r>
        <w:rPr>
          <w:rFonts w:cs="Times New Roman"/>
          <w:smallCaps/>
          <w:lang w:val="en-GB"/>
        </w:rPr>
        <w:t xml:space="preserve">. </w:t>
      </w:r>
      <w:r w:rsidRPr="0021115D">
        <w:rPr>
          <w:rFonts w:cs="Times New Roman"/>
          <w:smallCaps/>
          <w:lang w:val="en-GB"/>
        </w:rPr>
        <w:t>Rev</w:t>
      </w:r>
      <w:r>
        <w:rPr>
          <w:rFonts w:cs="Times New Roman"/>
          <w:smallCaps/>
          <w:lang w:val="en-GB"/>
        </w:rPr>
        <w:t>.</w:t>
      </w:r>
      <w:r w:rsidRPr="0021115D">
        <w:rPr>
          <w:rFonts w:cs="Times New Roman"/>
          <w:lang w:val="en-GB"/>
        </w:rPr>
        <w:t xml:space="preserve"> 1185 (2016)</w:t>
      </w:r>
      <w:r>
        <w:rPr>
          <w:rFonts w:cs="Times New Roman"/>
          <w:lang w:val="en-GB"/>
        </w:rPr>
        <w:t xml:space="preserve"> [hereinafter, </w:t>
      </w:r>
      <w:proofErr w:type="spellStart"/>
      <w:r>
        <w:rPr>
          <w:rFonts w:cs="Times New Roman"/>
          <w:lang w:val="en-GB"/>
        </w:rPr>
        <w:t>NeJaime</w:t>
      </w:r>
      <w:proofErr w:type="spellEnd"/>
      <w:r>
        <w:rPr>
          <w:rFonts w:cs="Times New Roman"/>
          <w:lang w:val="en-GB"/>
        </w:rPr>
        <w:t>, Marriage Equality]</w:t>
      </w:r>
      <w:r w:rsidRPr="0021115D">
        <w:rPr>
          <w:rFonts w:cs="Times New Roman"/>
          <w:lang w:val="en-GB"/>
        </w:rPr>
        <w:t>.</w:t>
      </w:r>
      <w:r>
        <w:fldChar w:fldCharType="end"/>
      </w:r>
      <w:r>
        <w:t xml:space="preserve"> </w:t>
      </w:r>
      <w:r w:rsidRPr="0089281D">
        <w:t xml:space="preserve">Adoption is indeed another way of establishing a legal parent-child relationships for non-parents and remains an important legal tool for LGBTQ+ individuals to form families. </w:t>
      </w:r>
      <w:r>
        <w:t>However, the kinds of situations I am interested in are distinct from adoption since they involve recognition of existing families rather than the placement of children in new families.</w:t>
      </w:r>
    </w:p>
  </w:footnote>
  <w:footnote w:id="8">
    <w:p w14:paraId="00580ADD" w14:textId="77777777" w:rsidR="00C82998" w:rsidRDefault="00C82998" w:rsidP="00C82998">
      <w:pPr>
        <w:pStyle w:val="FootnoteText"/>
        <w:jc w:val="both"/>
      </w:pPr>
      <w:r>
        <w:rPr>
          <w:rStyle w:val="FootnoteReference"/>
        </w:rPr>
        <w:footnoteRef/>
      </w:r>
      <w:r>
        <w:t xml:space="preserve"> </w:t>
      </w:r>
      <w:r w:rsidRPr="00B805D5">
        <w:rPr>
          <w:i/>
          <w:iCs/>
        </w:rPr>
        <w:t>The Modern American Family: Key Trends in Marriage and Family Life</w:t>
      </w:r>
      <w:r>
        <w:t xml:space="preserve">, </w:t>
      </w:r>
      <w:r w:rsidRPr="00B805D5">
        <w:rPr>
          <w:smallCaps/>
        </w:rPr>
        <w:t>Pew Research Centre</w:t>
      </w:r>
      <w:r>
        <w:rPr>
          <w:smallCaps/>
        </w:rPr>
        <w:t xml:space="preserve">, </w:t>
      </w:r>
      <w:r w:rsidRPr="00B805D5">
        <w:t>https://www.pewresearch.org/social-trends/2023/09/14/the-modern-american-family/ (</w:t>
      </w:r>
      <w:r>
        <w:t xml:space="preserve">2023).  </w:t>
      </w:r>
    </w:p>
  </w:footnote>
  <w:footnote w:id="9">
    <w:p w14:paraId="4CA577A8" w14:textId="77777777" w:rsidR="00C82998" w:rsidRDefault="00C82998" w:rsidP="00C82998">
      <w:pPr>
        <w:pStyle w:val="FootnoteText"/>
        <w:jc w:val="both"/>
      </w:pPr>
      <w:r w:rsidRPr="001F71E0">
        <w:rPr>
          <w:rStyle w:val="FootnoteReference"/>
        </w:rPr>
        <w:footnoteRef/>
      </w:r>
      <w:r>
        <w:t xml:space="preserve"> In recent years several states have passed parents’ rights bills that seek to control what can be taught at schools, </w:t>
      </w:r>
      <w:r w:rsidRPr="00BC640B">
        <w:rPr>
          <w:i/>
          <w:iCs/>
        </w:rPr>
        <w:t>see</w:t>
      </w:r>
      <w:r>
        <w:t xml:space="preserve"> </w:t>
      </w:r>
      <w:r w:rsidRPr="00BC640B">
        <w:rPr>
          <w:smallCaps/>
        </w:rPr>
        <w:t>Education Power for Parents: A State Legislation Tracker</w:t>
      </w:r>
      <w:r>
        <w:t xml:space="preserve">, </w:t>
      </w:r>
      <w:r w:rsidRPr="00D14093">
        <w:t>https://datavisualizations.heritage.org/education/education-power-for-parents-a-state-legislation-tracker/</w:t>
      </w:r>
      <w:r>
        <w:t xml:space="preserve"> (last visited Jan. 20, 2025). For a critique of such laws see </w:t>
      </w:r>
      <w:r>
        <w:fldChar w:fldCharType="begin"/>
      </w:r>
      <w:r>
        <w:instrText xml:space="preserve"> ADDIN ZOTERO_ITEM CSL_CITATION {"citationID":"qTQLDGz4","properties":{"formattedCitation":"LaToya Baldwin Clark, {\\i{}The Critical Racialization of Parents\\uc0\\u8217{} Rights}, 132 {\\scaps Yale L. J.} 2139 (2022).","plainCitation":"LaToya Baldwin Clark, The Critical Racialization of Parents’ Rights, 132 Yale L. J. 2139 (2022).","noteIndex":9},"citationItems":[{"id":4763,"uris":["http://zotero.org/users/14209839/items/ZVTWM4XU"],"itemData":{"id":4763,"type":"article-journal","container-title":"Yale Law Journal","issue":"7","journalAbbreviation":"Yale L. J.","language":"eng","page":"2139-2204","source":"HeinOnline","title":"The Critical Racialization of Parents' Rights","volume":"132","author":[{"family":"Clark","given":"LaToya Baldwin"}],"issued":{"date-parts":[["2022"]],"season":"2023"},"citation-key":"clarkCriticalRacializationParents2022"}}],"schema":"https://github.com/citation-style-language/schema/raw/master/csl-citation.json"} </w:instrText>
      </w:r>
      <w:r>
        <w:fldChar w:fldCharType="separate"/>
      </w:r>
      <w:r w:rsidRPr="0052790D">
        <w:rPr>
          <w:rFonts w:cs="Times New Roman"/>
          <w:lang w:val="en-GB"/>
        </w:rPr>
        <w:t xml:space="preserve">LaToya Baldwin Clark, </w:t>
      </w:r>
      <w:r w:rsidRPr="0052790D">
        <w:rPr>
          <w:rFonts w:cs="Times New Roman"/>
          <w:i/>
          <w:iCs/>
          <w:lang w:val="en-GB"/>
        </w:rPr>
        <w:t xml:space="preserve">The Critical Racialization of </w:t>
      </w:r>
      <w:r>
        <w:rPr>
          <w:rFonts w:cs="Times New Roman"/>
          <w:i/>
          <w:iCs/>
          <w:lang w:val="en-GB"/>
        </w:rPr>
        <w:t>Parents’</w:t>
      </w:r>
      <w:r w:rsidRPr="0052790D">
        <w:rPr>
          <w:rFonts w:cs="Times New Roman"/>
          <w:i/>
          <w:iCs/>
          <w:lang w:val="en-GB"/>
        </w:rPr>
        <w:t xml:space="preserve"> Rights</w:t>
      </w:r>
      <w:r w:rsidRPr="0052790D">
        <w:rPr>
          <w:rFonts w:cs="Times New Roman"/>
          <w:lang w:val="en-GB"/>
        </w:rPr>
        <w:t xml:space="preserve">, 132 </w:t>
      </w:r>
      <w:r w:rsidRPr="0052790D">
        <w:rPr>
          <w:rFonts w:cs="Times New Roman"/>
          <w:smallCaps/>
          <w:lang w:val="en-GB"/>
        </w:rPr>
        <w:t>Yale L. J.</w:t>
      </w:r>
      <w:r w:rsidRPr="0052790D">
        <w:rPr>
          <w:rFonts w:cs="Times New Roman"/>
          <w:lang w:val="en-GB"/>
        </w:rPr>
        <w:t xml:space="preserve"> 2139 (2022).</w:t>
      </w:r>
      <w:r>
        <w:fldChar w:fldCharType="end"/>
      </w:r>
      <w:r>
        <w:t xml:space="preserve"> </w:t>
      </w:r>
      <w:r w:rsidRPr="00DF399F">
        <w:rPr>
          <w:i/>
          <w:iCs/>
        </w:rPr>
        <w:t>See also</w:t>
      </w:r>
      <w:r>
        <w:t xml:space="preserve"> </w:t>
      </w:r>
      <w:r>
        <w:fldChar w:fldCharType="begin"/>
      </w:r>
      <w:r>
        <w:instrText xml:space="preserve"> ADDIN ZOTERO_ITEM CSL_CITATION {"citationID":"F8CEsJlm","properties":{"formattedCitation":"Maxine Eichner, {\\i{}Who Should Control Children\\uc0\\u8217{}s Education: Parents, Children, and the State}, 75 {\\scaps U. Cin. L. Rev.} 1339 (2006).","plainCitation":"Maxine Eichner, Who Should Control Children’s Education: Parents, Children, and the State, 75 U. Cin. L. Rev. 1339 (2006).","noteIndex":9},"citationItems":[{"id":4761,"uris":["http://zotero.org/users/14209839/items/UK3867FB"],"itemData":{"id":4761,"type":"article-journal","container-title":"University of Cincinnati Law Review","issue":"4","journalAbbreviation":"U. Cin. L. Rev.","language":"eng","page":"1339-1388","source":"HeinOnline","title":"Who Should Control Children's Education: Parents, Children, and the State","title-short":"Who Should Control Children's Education","volume":"75","author":[{"family":"Eichner","given":"Maxine"}],"issued":{"date-parts":[["2006"]],"season":"2007"},"citation-key":"eichnerWhoShouldControl2006"}}],"schema":"https://github.com/citation-style-language/schema/raw/master/csl-citation.json"} </w:instrText>
      </w:r>
      <w:r>
        <w:fldChar w:fldCharType="separate"/>
      </w:r>
      <w:r w:rsidRPr="00491F68">
        <w:rPr>
          <w:rFonts w:cs="Times New Roman"/>
          <w:lang w:val="en-GB"/>
        </w:rPr>
        <w:t xml:space="preserve">Maxine Eichner, </w:t>
      </w:r>
      <w:r w:rsidRPr="00491F68">
        <w:rPr>
          <w:rFonts w:cs="Times New Roman"/>
          <w:i/>
          <w:iCs/>
          <w:lang w:val="en-GB"/>
        </w:rPr>
        <w:t>Who Should Control Children’s Education: Parents, Children, and the State</w:t>
      </w:r>
      <w:r w:rsidRPr="00491F68">
        <w:rPr>
          <w:rFonts w:cs="Times New Roman"/>
          <w:lang w:val="en-GB"/>
        </w:rPr>
        <w:t xml:space="preserve">, 75 </w:t>
      </w:r>
      <w:r w:rsidRPr="00491F68">
        <w:rPr>
          <w:rFonts w:cs="Times New Roman"/>
          <w:smallCaps/>
          <w:lang w:val="en-GB"/>
        </w:rPr>
        <w:t>U. Cin. L. Rev.</w:t>
      </w:r>
      <w:r w:rsidRPr="00491F68">
        <w:rPr>
          <w:rFonts w:cs="Times New Roman"/>
          <w:lang w:val="en-GB"/>
        </w:rPr>
        <w:t xml:space="preserve"> 1339 (2006).</w:t>
      </w:r>
      <w:r>
        <w:fldChar w:fldCharType="end"/>
      </w:r>
    </w:p>
  </w:footnote>
  <w:footnote w:id="10">
    <w:p w14:paraId="02EC4ACB" w14:textId="77777777" w:rsidR="00C82998" w:rsidRDefault="00C82998" w:rsidP="00C82998">
      <w:pPr>
        <w:pStyle w:val="FootnoteText"/>
        <w:jc w:val="both"/>
      </w:pPr>
      <w:r w:rsidRPr="001F71E0">
        <w:rPr>
          <w:rStyle w:val="FootnoteReference"/>
        </w:rPr>
        <w:footnoteRef/>
      </w:r>
      <w:r>
        <w:t xml:space="preserve"> Katie Eyer, </w:t>
      </w:r>
      <w:r w:rsidRPr="00EA023A">
        <w:rPr>
          <w:i/>
          <w:iCs/>
        </w:rPr>
        <w:t>Anti-Transgender Constitutional Law</w:t>
      </w:r>
      <w:r>
        <w:t xml:space="preserve">, 77 </w:t>
      </w:r>
      <w:r w:rsidRPr="00E93788">
        <w:rPr>
          <w:smallCaps/>
        </w:rPr>
        <w:t>Vand. L. Rev.</w:t>
      </w:r>
      <w:r>
        <w:t xml:space="preserve"> 1113 (2024); Mary Ziegler, Maxine Eichner &amp; Naomi Cahn, </w:t>
      </w:r>
      <w:r w:rsidRPr="007A2E50">
        <w:rPr>
          <w:i/>
          <w:iCs/>
        </w:rPr>
        <w:t>The New Law and Politics of Parental Rights</w:t>
      </w:r>
      <w:r>
        <w:t xml:space="preserve">, 123 </w:t>
      </w:r>
      <w:r w:rsidRPr="00E93788">
        <w:rPr>
          <w:smallCaps/>
        </w:rPr>
        <w:t>Mich. L. Rev.</w:t>
      </w:r>
      <w:r>
        <w:t xml:space="preserve"> 41-43 (forthcoming 2024).</w:t>
      </w:r>
    </w:p>
  </w:footnote>
  <w:footnote w:id="11">
    <w:p w14:paraId="3DFDF8AE" w14:textId="77777777" w:rsidR="00C82998" w:rsidRDefault="00C82998" w:rsidP="00C82998">
      <w:pPr>
        <w:pStyle w:val="FootnoteText"/>
        <w:jc w:val="both"/>
      </w:pPr>
      <w:r w:rsidRPr="001F71E0">
        <w:rPr>
          <w:rStyle w:val="FootnoteReference"/>
        </w:rPr>
        <w:footnoteRef/>
      </w:r>
      <w:r>
        <w:t xml:space="preserve"> </w:t>
      </w:r>
      <w:r>
        <w:fldChar w:fldCharType="begin"/>
      </w:r>
      <w:r>
        <w:instrText xml:space="preserve"> ADDIN ZOTERO_ITEM CSL_CITATION {"citationID":"4rytxa00","properties":{"formattedCitation":"Leigh Johnson, {\\i{}My Body, Your Choice: The Conflict between Children\\uc0\\u8217{}s Bodily Autonomy and Parental Rights in the Age of Vaccine Resistance Comments}, 89 {\\scaps U. Chi. L. Rev.} 1605 (2022).","plainCitation":"Leigh Johnson, My Body, Your Choice: The Conflict between Children’s Bodily Autonomy and Parental Rights in the Age of Vaccine Resistance Comments, 89 U. Chi. L. Rev. 1605 (2022).","dontUpdate":true,"noteIndex":11},"citationItems":[{"id":4874,"uris":["http://zotero.org/users/14209839/items/8RCHS5SB"],"itemData":{"id":4874,"type":"article-journal","container-title":"University of Chicago Law Review","issue":"6","journalAbbreviation":"U. Chi. L. Rev.","language":"eng","page":"1605-1654","source":"HeinOnline","title":"My Body, Your Choice: The Conflict between Children's Bodily Autonomy and Parental Rights in the Age of Vaccine Resistance Comments","title-short":"My Body, Your Choice","volume":"89","author":[{"family":"Johnson","given":"Leigh"}],"issued":{"date-parts":[["2022"]]},"citation-key":"johnsonMyBodyYour2022"}}],"schema":"https://github.com/citation-style-language/schema/raw/master/csl-citation.json"} </w:instrText>
      </w:r>
      <w:r>
        <w:fldChar w:fldCharType="separate"/>
      </w:r>
      <w:r w:rsidRPr="00135708">
        <w:rPr>
          <w:rFonts w:cs="Times New Roman"/>
          <w:lang w:val="en-GB"/>
        </w:rPr>
        <w:t xml:space="preserve">Leigh Johnson, </w:t>
      </w:r>
      <w:r w:rsidRPr="00135708">
        <w:rPr>
          <w:rFonts w:cs="Times New Roman"/>
          <w:i/>
          <w:iCs/>
          <w:lang w:val="en-GB"/>
        </w:rPr>
        <w:t>My Body, Your Choice: The Conflict between Children’s Bodily Autonomy and Parental Rights in the Age of Vaccine Resistance</w:t>
      </w:r>
      <w:r w:rsidRPr="00135708">
        <w:rPr>
          <w:rFonts w:cs="Times New Roman"/>
          <w:lang w:val="en-GB"/>
        </w:rPr>
        <w:t xml:space="preserve">, 89 </w:t>
      </w:r>
      <w:r w:rsidRPr="00135708">
        <w:rPr>
          <w:rFonts w:cs="Times New Roman"/>
          <w:smallCaps/>
          <w:lang w:val="en-GB"/>
        </w:rPr>
        <w:t>U. Chi. L. Rev.</w:t>
      </w:r>
      <w:r w:rsidRPr="00135708">
        <w:rPr>
          <w:rFonts w:cs="Times New Roman"/>
          <w:lang w:val="en-GB"/>
        </w:rPr>
        <w:t xml:space="preserve"> 1605 (2022).</w:t>
      </w:r>
      <w:r>
        <w:fldChar w:fldCharType="end"/>
      </w:r>
    </w:p>
  </w:footnote>
  <w:footnote w:id="12">
    <w:p w14:paraId="533A0820" w14:textId="77777777" w:rsidR="00C82998" w:rsidRDefault="00C82998" w:rsidP="00C82998">
      <w:pPr>
        <w:pStyle w:val="FootnoteText"/>
        <w:jc w:val="both"/>
      </w:pPr>
      <w:r w:rsidRPr="001F71E0">
        <w:rPr>
          <w:rStyle w:val="FootnoteReference"/>
        </w:rPr>
        <w:footnoteRef/>
      </w:r>
      <w:r>
        <w:t xml:space="preserve"> </w:t>
      </w:r>
      <w:r w:rsidRPr="00612DDC">
        <w:rPr>
          <w:i/>
          <w:iCs/>
        </w:rPr>
        <w:t>Parental Involvement in Minor’s Abortion: State Laws and Policies</w:t>
      </w:r>
      <w:r>
        <w:t xml:space="preserve">, </w:t>
      </w:r>
      <w:r w:rsidRPr="00612DDC">
        <w:rPr>
          <w:smallCaps/>
        </w:rPr>
        <w:t>Guttmacher</w:t>
      </w:r>
      <w:r>
        <w:t xml:space="preserve">, </w:t>
      </w:r>
      <w:r w:rsidRPr="00B4251A">
        <w:t>https://www.guttmacher.org/state-policy/explore/parental-involvement-minors-abortions</w:t>
      </w:r>
      <w:r>
        <w:t xml:space="preserve"> (last visited Jan. 20, 2025); for an analysis of the issues see </w:t>
      </w:r>
      <w:r>
        <w:fldChar w:fldCharType="begin"/>
      </w:r>
      <w:r>
        <w:instrText xml:space="preserve"> ADDIN ZOTERO_ITEM CSL_CITATION {"citationID":"eGQz5ybU","properties":{"formattedCitation":"Jessica Quinter &amp; Caroline Markowitz, {\\i{}Judicial Bypass and Parental Rights after Dobbs}, 132 {\\scaps Yale L. J.} [i] (2022).","plainCitation":"Jessica Quinter &amp; Caroline Markowitz, Judicial Bypass and Parental Rights after Dobbs, 132 Yale L. J. [i] (2022).","noteIndex":12},"citationItems":[{"id":4872,"uris":["http://zotero.org/users/14209839/items/BSZAV82F"],"itemData":{"id":4872,"type":"article-journal","container-title":"Yale Law Journal","issue":"6","journalAbbreviation":"Yale L. J.","language":"eng","page":"[i]-1969","source":"HeinOnline","title":"Judicial Bypass and Parental Rights after Dobbs","volume":"132","author":[{"family":"Quinter","given":"Jessica"},{"family":"Markowitz","given":"Caroline"}],"issued":{"date-parts":[["2022"]],"season":"2023"},"citation-key":"quinterJudicialBypassParental2022"}}],"schema":"https://github.com/citation-style-language/schema/raw/master/csl-citation.json"} </w:instrText>
      </w:r>
      <w:r>
        <w:fldChar w:fldCharType="separate"/>
      </w:r>
      <w:r w:rsidRPr="009A6FD1">
        <w:rPr>
          <w:rFonts w:cs="Times New Roman"/>
          <w:lang w:val="en-GB"/>
        </w:rPr>
        <w:t xml:space="preserve">Jessica Quinter &amp; Caroline Markowitz, </w:t>
      </w:r>
      <w:r w:rsidRPr="009A6FD1">
        <w:rPr>
          <w:rFonts w:cs="Times New Roman"/>
          <w:i/>
          <w:iCs/>
          <w:lang w:val="en-GB"/>
        </w:rPr>
        <w:t>Judicial Bypass and Parental Rights after Dobbs</w:t>
      </w:r>
      <w:r w:rsidRPr="009A6FD1">
        <w:rPr>
          <w:rFonts w:cs="Times New Roman"/>
          <w:lang w:val="en-GB"/>
        </w:rPr>
        <w:t xml:space="preserve">, 132 </w:t>
      </w:r>
      <w:r w:rsidRPr="009A6FD1">
        <w:rPr>
          <w:rFonts w:cs="Times New Roman"/>
          <w:smallCaps/>
          <w:lang w:val="en-GB"/>
        </w:rPr>
        <w:t>Yale L. J.</w:t>
      </w:r>
      <w:r w:rsidRPr="009A6FD1">
        <w:rPr>
          <w:rFonts w:cs="Times New Roman"/>
          <w:lang w:val="en-GB"/>
        </w:rPr>
        <w:t xml:space="preserve"> [</w:t>
      </w:r>
      <w:proofErr w:type="spellStart"/>
      <w:r w:rsidRPr="009A6FD1">
        <w:rPr>
          <w:rFonts w:cs="Times New Roman"/>
          <w:lang w:val="en-GB"/>
        </w:rPr>
        <w:t>i</w:t>
      </w:r>
      <w:proofErr w:type="spellEnd"/>
      <w:r w:rsidRPr="009A6FD1">
        <w:rPr>
          <w:rFonts w:cs="Times New Roman"/>
          <w:lang w:val="en-GB"/>
        </w:rPr>
        <w:t>] (2022).</w:t>
      </w:r>
      <w:r>
        <w:fldChar w:fldCharType="end"/>
      </w:r>
    </w:p>
  </w:footnote>
  <w:footnote w:id="13">
    <w:p w14:paraId="74568718" w14:textId="77777777" w:rsidR="00C82998" w:rsidRPr="0045451D" w:rsidRDefault="00C82998" w:rsidP="00C82998">
      <w:pPr>
        <w:pStyle w:val="FootnoteText"/>
        <w:jc w:val="both"/>
      </w:pPr>
      <w:r w:rsidRPr="001F71E0">
        <w:rPr>
          <w:rStyle w:val="FootnoteReference"/>
        </w:rPr>
        <w:footnoteRef/>
      </w:r>
      <w:r>
        <w:t xml:space="preserve"> Ziegler, Eichner, &amp; Cahn, </w:t>
      </w:r>
      <w:r>
        <w:rPr>
          <w:i/>
          <w:iCs/>
        </w:rPr>
        <w:t xml:space="preserve">supra </w:t>
      </w:r>
      <w:r>
        <w:t xml:space="preserve">note 10, at 3-6. </w:t>
      </w:r>
    </w:p>
  </w:footnote>
  <w:footnote w:id="14">
    <w:p w14:paraId="36898AE5" w14:textId="77777777" w:rsidR="00C82998" w:rsidRDefault="00C82998" w:rsidP="00C82998">
      <w:pPr>
        <w:pStyle w:val="FootnoteText"/>
        <w:jc w:val="both"/>
      </w:pPr>
      <w:r w:rsidRPr="001F71E0">
        <w:rPr>
          <w:rStyle w:val="FootnoteReference"/>
        </w:rPr>
        <w:footnoteRef/>
      </w:r>
      <w:r>
        <w:t xml:space="preserve"> For a focus on children’s interests, </w:t>
      </w:r>
      <w:r w:rsidRPr="00D62E4E">
        <w:rPr>
          <w:i/>
          <w:iCs/>
        </w:rPr>
        <w:t>see</w:t>
      </w:r>
      <w:r>
        <w:t xml:space="preserve"> </w:t>
      </w:r>
      <w:r>
        <w:fldChar w:fldCharType="begin"/>
      </w:r>
      <w:r>
        <w:instrText xml:space="preserve"> ADDIN ZOTERO_ITEM CSL_CITATION {"citationID":"DyHAYhDA","properties":{"formattedCitation":"Anne C. Dailey &amp; Laura A. Rosenbury, {\\i{}The New Law of the Child}, 127 {\\scaps Yale L. J.} 1448 (2017); Anne C. Dailey &amp; Laura A. Rosenbury, {\\i{}The New Parental Rights}, 71 {\\scaps Duke L.J.} 75 (2021).","plainCitation":"Anne C. Dailey &amp; Laura A. Rosenbury, The New Law of the Child, 127 Yale L. J. 1448 (2017); Anne C. Dailey &amp; Laura A. Rosenbury, The New Parental Rights, 71 Duke L.J. 75 (2021).","dontUpdate":true,"noteIndex":14},"citationItems":[{"id":3284,"uris":["http://zotero.org/users/14209839/items/LY9799K7"],"itemData":{"id":3284,"type":"article-journal","container-title":"Yale Law Journal","issue":"6","journalAbbreviation":"Yale L. J.","language":"eng","page":"1448-1537","source":"HeinOnline","title":"The New Law of the Child","volume":"127","author":[{"family":"Dailey","given":"Anne C."},{"family":"Rosenbury","given":"Laura A."}],"issued":{"date-parts":[["2017"]],"season":"2018"},"citation-key":"daileyNewLawChild2017"}},{"id":3286,"uris":["http://zotero.org/users/14209839/items/5B43CEDV"],"itemData":{"id":3286,"type":"article-journal","container-title":"Duke Law Journal","issue":"1","journalAbbreviation":"Duke L.J.","language":"eng","page":"75-166","source":"HeinOnline","title":"The New Parental Rights","volume":"71","author":[{"family":"Dailey","given":"Anne C."},{"family":"Rosenbury","given":"Laura A."}],"issued":{"date-parts":[["2021"]],"season":"2022"},"citation-key":"daileyNewParentalRights2021a"}}],"schema":"https://github.com/citation-style-language/schema/raw/master/csl-citation.json"} </w:instrText>
      </w:r>
      <w:r>
        <w:fldChar w:fldCharType="separate"/>
      </w:r>
      <w:r w:rsidRPr="00A743D0">
        <w:rPr>
          <w:rFonts w:cs="Times New Roman"/>
          <w:lang w:val="en-GB"/>
        </w:rPr>
        <w:t xml:space="preserve">Anne C. Dailey &amp; Laura A. Rosenbury, </w:t>
      </w:r>
      <w:r w:rsidRPr="00A743D0">
        <w:rPr>
          <w:rFonts w:cs="Times New Roman"/>
          <w:i/>
          <w:iCs/>
          <w:lang w:val="en-GB"/>
        </w:rPr>
        <w:t>The New Law of the Child</w:t>
      </w:r>
      <w:r w:rsidRPr="00A743D0">
        <w:rPr>
          <w:rFonts w:cs="Times New Roman"/>
          <w:lang w:val="en-GB"/>
        </w:rPr>
        <w:t xml:space="preserve">, 127 </w:t>
      </w:r>
      <w:r w:rsidRPr="00A743D0">
        <w:rPr>
          <w:rFonts w:cs="Times New Roman"/>
          <w:smallCaps/>
          <w:lang w:val="en-GB"/>
        </w:rPr>
        <w:t>Yale L. J.</w:t>
      </w:r>
      <w:r w:rsidRPr="00A743D0">
        <w:rPr>
          <w:rFonts w:cs="Times New Roman"/>
          <w:lang w:val="en-GB"/>
        </w:rPr>
        <w:t xml:space="preserve"> 1448 (2017)</w:t>
      </w:r>
      <w:r>
        <w:rPr>
          <w:rFonts w:cs="Times New Roman"/>
          <w:lang w:val="en-GB"/>
        </w:rPr>
        <w:t xml:space="preserve"> [hereinafter, Dailey &amp; Rosenbury, New Law]</w:t>
      </w:r>
      <w:r w:rsidRPr="00A743D0">
        <w:rPr>
          <w:rFonts w:cs="Times New Roman"/>
          <w:lang w:val="en-GB"/>
        </w:rPr>
        <w:t xml:space="preserve">; Anne C. Dailey &amp; Laura A. Rosenbury, </w:t>
      </w:r>
      <w:r w:rsidRPr="00A743D0">
        <w:rPr>
          <w:rFonts w:cs="Times New Roman"/>
          <w:i/>
          <w:iCs/>
          <w:lang w:val="en-GB"/>
        </w:rPr>
        <w:t>The New Parental Rights</w:t>
      </w:r>
      <w:r w:rsidRPr="00A743D0">
        <w:rPr>
          <w:rFonts w:cs="Times New Roman"/>
          <w:lang w:val="en-GB"/>
        </w:rPr>
        <w:t xml:space="preserve">, 71 </w:t>
      </w:r>
      <w:r w:rsidRPr="00A743D0">
        <w:rPr>
          <w:rFonts w:cs="Times New Roman"/>
          <w:smallCaps/>
          <w:lang w:val="en-GB"/>
        </w:rPr>
        <w:t>Duke L.J.</w:t>
      </w:r>
      <w:r w:rsidRPr="00A743D0">
        <w:rPr>
          <w:rFonts w:cs="Times New Roman"/>
          <w:lang w:val="en-GB"/>
        </w:rPr>
        <w:t xml:space="preserve"> 75 (2021).</w:t>
      </w:r>
      <w:r>
        <w:fldChar w:fldCharType="end"/>
      </w:r>
      <w:r>
        <w:t xml:space="preserve"> </w:t>
      </w:r>
      <w:r w:rsidRPr="00A743D0">
        <w:rPr>
          <w:i/>
          <w:iCs/>
        </w:rPr>
        <w:t>But</w:t>
      </w:r>
      <w:r>
        <w:t xml:space="preserve"> </w:t>
      </w:r>
      <w:r w:rsidRPr="004326E7">
        <w:rPr>
          <w:i/>
          <w:iCs/>
        </w:rPr>
        <w:t>see</w:t>
      </w:r>
      <w:r>
        <w:t xml:space="preserve"> </w:t>
      </w:r>
      <w:r>
        <w:fldChar w:fldCharType="begin"/>
      </w:r>
      <w:r>
        <w:instrText xml:space="preserve"> ADDIN ZOTERO_ITEM CSL_CITATION {"citationID":"kCxr8o7V","properties":{"formattedCitation":"Clare Huntington &amp; Elizabeth Scott, {\\i{}The Enduring Importance of Parental Rights Symposium: The Law of Parents and Parenting}, 90 {\\scaps Fordham L. Rev.} 2529 (2021).","plainCitation":"Clare Huntington &amp; Elizabeth Scott, The Enduring Importance of Parental Rights Symposium: The Law of Parents and Parenting, 90 Fordham L. Rev. 2529 (2021).","dontUpdate":true,"noteIndex":14},"citationItems":[{"id":3290,"uris":["http://zotero.org/users/14209839/items/LGGYN7XJ"],"itemData":{"id":3290,"type":"article-journal","container-title":"Fordham Law Review","issue":"6","journalAbbreviation":"Fordham L. Rev.","language":"eng","page":"2529-2540","source":"HeinOnline","title":"The Enduring Importance of Parental Rights Symposium: The Law of Parents and Parenting","title-short":"The Enduring Importance of Parental Rights Symposium","volume":"90","author":[{"family":"Huntington","given":"Clare"},{"family":"Scott","given":"Elizabeth"}],"issued":{"date-parts":[["2021"]],"season":"2022"},"citation-key":"huntingtonEnduringImportanceParental2021"}}],"schema":"https://github.com/citation-style-language/schema/raw/master/csl-citation.json"} </w:instrText>
      </w:r>
      <w:r>
        <w:fldChar w:fldCharType="separate"/>
      </w:r>
      <w:r w:rsidRPr="00D94D26">
        <w:rPr>
          <w:rFonts w:cs="Times New Roman"/>
          <w:lang w:val="en-GB"/>
        </w:rPr>
        <w:t xml:space="preserve">Clare Huntington &amp; Elizabeth Scott, </w:t>
      </w:r>
      <w:r w:rsidRPr="00D94D26">
        <w:rPr>
          <w:rFonts w:cs="Times New Roman"/>
          <w:i/>
          <w:iCs/>
          <w:lang w:val="en-GB"/>
        </w:rPr>
        <w:t>The Enduring Importance of Parental Rights</w:t>
      </w:r>
      <w:r w:rsidRPr="00D94D26">
        <w:rPr>
          <w:rFonts w:cs="Times New Roman"/>
          <w:lang w:val="en-GB"/>
        </w:rPr>
        <w:t xml:space="preserve">, 90 </w:t>
      </w:r>
      <w:r w:rsidRPr="00D94D26">
        <w:rPr>
          <w:rFonts w:cs="Times New Roman"/>
          <w:smallCaps/>
          <w:lang w:val="en-GB"/>
        </w:rPr>
        <w:t>Fordham L. Rev.</w:t>
      </w:r>
      <w:r w:rsidRPr="00D94D26">
        <w:rPr>
          <w:rFonts w:cs="Times New Roman"/>
          <w:lang w:val="en-GB"/>
        </w:rPr>
        <w:t xml:space="preserve"> 2529 (2021)</w:t>
      </w:r>
      <w:r>
        <w:rPr>
          <w:rFonts w:cs="Times New Roman"/>
          <w:lang w:val="en-GB"/>
        </w:rPr>
        <w:t xml:space="preserve"> [hereinafter, Huntington &amp; Scott, Enduring Importance]; </w:t>
      </w:r>
      <w:r>
        <w:fldChar w:fldCharType="end"/>
      </w:r>
      <w:r>
        <w:fldChar w:fldCharType="begin"/>
      </w:r>
      <w:r>
        <w:instrText xml:space="preserve"> ADDIN ZOTERO_ITEM CSL_CITATION {"citationID":"QCPazBY1","properties":{"formattedCitation":"Clare Huntington &amp; Elizabeth Scott, {\\i{}Conceptualizing Legal Childhood in the Twenty-First Century}, {\\scaps MLR} 1371 (2020); Clare Huntington &amp; Elizabeth S. Scott, {\\i{}The Enduring Importance of Parental Rights}, (2022), https://papers.ssrn.com/abstract=4118835 (last visited Feb 28, 2023).","plainCitation":"Clare Huntington &amp; Elizabeth Scott, Conceptualizing Legal Childhood in the Twenty-First Century, MLR 1371 (2020); Clare Huntington &amp; Elizabeth S. Scott, The Enduring Importance of Parental Rights, (2022), https://papers.ssrn.com/abstract=4118835 (last visited Feb 28, 2023).","dontUpdate":true,"noteIndex":14},"citationItems":[{"id":823,"uris":["http://zotero.org/users/14209839/items/EB4FGWRX"],"itemData":{"id":823,"type":"article-journal","abstract":"The law governing children is complex, sometimes appearing almost incoherent. The relatively simple framework established in the Progressive Era, in which parents had primary authority over children, subject to limited state oversight, has broken down over the past few decades. Lawmakers started granting children some adult rights and privileges, raising questions about their traditional status as vulnerable, dependent, and legally incompetent beings. As children emerged as legal persons, children’s rights advocates challenged the rationale for parental authority, contending that robust parental rights often harm children. And a wave of punitive reforms in response to juvenile crime in the 1990s undermined the state’s long-standing role as the protector of children.\n\nWe address this seeming incoherence by identifying a deep structure and logic in the regulation of children that is becoming clear in the twenty-first century. In our conceptual framework, the law’s central goal, across multiple legal domains, is to promote child wellbeing. This unifying purpose has roots in the Progressive Era, but three distinct characteristics distinguish the modern approach. Today, lawmakers advance child wellbeing with greater confidence and success by drawing on a wide body of research on child and adolescent development and the efficacy of related policies. This is bolstered by the clear understanding that promoting child wellbeing generally furthers social welfare, leading to a broader base of support for state policies and legal doctrines. Finally, there is a growing recognition that the regulation of children and families has long been tainted by racial and class bias and that a new commitment to minimizing these pernicious influences is essential to both the legitimacy and fairness of the regime. In combination, these features make the contemporary regulatory framework superior to earlier approaches.\n\nRather than pitting the state, parents, and child in competition for control over children’s lives—the conception of family regulation since the 1960s—our Child Wellbeing framework offers a surprisingly integrated regulatory approach. Properly understood, parental rights and children’s rights, as well as the direct role of the state in children’s lives, are increasingly defined and unified by a research-driven, social-welfare-regarding effort to promote child wellbeing. This normatively attractive conceptualization of legal childhood does not define every area of legal regulation, but it is a strong through-line and should be elevated and embraced more broadly. In short, our framework brings coherence to the complex legal developments of the past half-century and provides guidance moving forward for this critical area of the law.","container-title":"Michigan Law Review","DOI":"10.36644/mlr.118.7.conceptualization","ISSN":"19398557, 00262234","issue":"118.7","journalAbbreviation":"MLR","language":"en","page":"1371","source":"DOI.org (Crossref)","title":"Conceptualizing Legal Childhood in the Twenty-First Century","author":[{"family":"Huntington","given":"Clare"},{"family":"Scott","given":"Elizabeth"}],"issued":{"date-parts":[["2020"]]},"citation-key":"huntingtonConceptualizingLegalChildhood2020"}},{"id":1243,"uris":["http://zotero.org/users/14209839/items/WCCJKLLA"],"itemData":{"id":1243,"type":"article","abstract":"In this symposium contribution for The Law of Parents and Parenting, we argue that parental rights are—and should remain—the backbone of family law. State deference to parents is warranted not because parents are infallible, but rather because parental rights, properly understood and limited, promote child wellbeing. This is true for several reasons, but two stand out. First, parental rights promote the stability of the parent-child relationship by restricting the state’s authority to intervene in families. This protection promotes healthy child development for all children, and it is especially important for low-income families and families of color, who are subject to intensive state scrutiny. Second, parental rights ensure that parents, rather than a private third party or state actor such as a judge or social worker, make decisions about what advances a child’s interests. The legal system defers to parents’ decisions both because parents are well positioned to know what an individual child needs, and because state intervention to vindicate the decision-making power of a nonparent would expose the child to significant risks of family disruption and contentious litigation.There are clear limits to parental rights, however, and the child-wellbeing rationale for these rights, which we describe in this Essay, provides a self-limiting principle. When a parent’s conduct poses a significant risk to a child, the state may intervene, even when the parent’s actions are based on religious beliefs. And when there is broad societal consensus about what children need—such as education and health care—the state properly preempts parental authority, requiring all parents to send their children to school and to obtain necessary medical care. But in many other instances, especially where there is no societal consensus, the law properly defers to parental judgments, at least for young children. This deference to parents is especially important for marginalized families because the judgments of other parties may reflect bias and dominant parenting norms. In this Essay, which builds on previous scholarship and our work drafting the American Law Institute’s Restatement of the Law, Children and the Law, we also evaluate scholars’ proposals to limit parental rights. We explain that we share with these scholars the goal of promoting children’s interests but differ on the importance of parental rights. In our view, the legal system can best promote child wellbeing by enforcing a strong, but self-limiting, regime of parental rights.","event-place":"Rochester, NY","genre":"SSRN Scholarly Paper","language":"en","number":"4118835","publisher-place":"Rochester, NY","source":"Social Science Research Network","title":"The Enduring Importance of Parental Rights","URL":"https://papers.ssrn.com/abstract=4118835","author":[{"family":"Huntington","given":"Clare"},{"family":"Scott","given":"Elizabeth S."}],"accessed":{"date-parts":[["2023",2,28]]},"issued":{"date-parts":[["2022",5,24]]},"citation-key":"huntingtonEnduringImportanceParental2022"}}],"schema":"https://github.com/citation-style-language/schema/raw/master/csl-citation.json"} </w:instrText>
      </w:r>
      <w:r>
        <w:fldChar w:fldCharType="separate"/>
      </w:r>
      <w:r w:rsidRPr="00283F14">
        <w:rPr>
          <w:rFonts w:cs="Times New Roman"/>
          <w:lang w:val="en-GB"/>
        </w:rPr>
        <w:t xml:space="preserve">Clare Huntington &amp; Elizabeth Scott, </w:t>
      </w:r>
      <w:r w:rsidRPr="00283F14">
        <w:rPr>
          <w:rFonts w:cs="Times New Roman"/>
          <w:i/>
          <w:iCs/>
          <w:lang w:val="en-GB"/>
        </w:rPr>
        <w:t>Conceptualizing Legal Childhood in the Twenty-First Century</w:t>
      </w:r>
      <w:r w:rsidRPr="00283F14">
        <w:rPr>
          <w:rFonts w:cs="Times New Roman"/>
          <w:lang w:val="en-GB"/>
        </w:rPr>
        <w:t xml:space="preserve">, </w:t>
      </w:r>
      <w:r w:rsidRPr="00283F14">
        <w:rPr>
          <w:rFonts w:cs="Times New Roman"/>
          <w:smallCaps/>
          <w:lang w:val="en-GB"/>
        </w:rPr>
        <w:t>M</w:t>
      </w:r>
      <w:r>
        <w:rPr>
          <w:rFonts w:cs="Times New Roman"/>
          <w:smallCaps/>
          <w:lang w:val="en-GB"/>
        </w:rPr>
        <w:t xml:space="preserve">ich. </w:t>
      </w:r>
      <w:r w:rsidRPr="00283F14">
        <w:rPr>
          <w:rFonts w:cs="Times New Roman"/>
          <w:smallCaps/>
          <w:lang w:val="en-GB"/>
        </w:rPr>
        <w:t>L</w:t>
      </w:r>
      <w:r>
        <w:rPr>
          <w:rFonts w:cs="Times New Roman"/>
          <w:smallCaps/>
          <w:lang w:val="en-GB"/>
        </w:rPr>
        <w:t xml:space="preserve">. </w:t>
      </w:r>
      <w:r w:rsidRPr="00283F14">
        <w:rPr>
          <w:rFonts w:cs="Times New Roman"/>
          <w:smallCaps/>
          <w:lang w:val="en-GB"/>
        </w:rPr>
        <w:t>R</w:t>
      </w:r>
      <w:r>
        <w:rPr>
          <w:rFonts w:cs="Times New Roman"/>
          <w:smallCaps/>
          <w:lang w:val="en-GB"/>
        </w:rPr>
        <w:t>ev.</w:t>
      </w:r>
      <w:r w:rsidRPr="00283F14">
        <w:rPr>
          <w:rFonts w:cs="Times New Roman"/>
          <w:lang w:val="en-GB"/>
        </w:rPr>
        <w:t xml:space="preserve"> 1371 (2020)</w:t>
      </w:r>
      <w:r>
        <w:rPr>
          <w:rFonts w:cs="Times New Roman"/>
          <w:lang w:val="en-GB"/>
        </w:rPr>
        <w:t xml:space="preserve"> for a defence of parents’ rights and attempts to reconceptualize parents’ rights as being in children’s interests as part of a broader framework of child-wellbeing. These efforts are, however, normative and the law in practice may not necessarily reflect the same understanding. </w:t>
      </w:r>
      <w:r>
        <w:fldChar w:fldCharType="end"/>
      </w:r>
    </w:p>
  </w:footnote>
  <w:footnote w:id="15">
    <w:p w14:paraId="55A251AD" w14:textId="77777777" w:rsidR="00C82998" w:rsidRPr="005609AD" w:rsidRDefault="00C82998" w:rsidP="00C82998">
      <w:pPr>
        <w:pStyle w:val="FootnoteText"/>
        <w:jc w:val="both"/>
      </w:pPr>
      <w:r w:rsidRPr="001F71E0">
        <w:rPr>
          <w:rStyle w:val="FootnoteReference"/>
        </w:rPr>
        <w:footnoteRef/>
      </w:r>
      <w:r>
        <w:t xml:space="preserve"> </w:t>
      </w:r>
      <w:r w:rsidRPr="00305E13">
        <w:rPr>
          <w:i/>
          <w:iCs/>
        </w:rPr>
        <w:t>See generally</w:t>
      </w:r>
      <w:r>
        <w:rPr>
          <w:i/>
          <w:iCs/>
        </w:rPr>
        <w:t xml:space="preserve"> </w:t>
      </w:r>
      <w:r w:rsidRPr="00294160">
        <w:rPr>
          <w:smallCaps/>
        </w:rPr>
        <w:t>Dorothy Roberts, Torn Apart: How the Child Welfare System Destroys Black Families – and How Abolition Can Build a Safer World</w:t>
      </w:r>
      <w:r>
        <w:t xml:space="preserve"> (2022). </w:t>
      </w:r>
    </w:p>
  </w:footnote>
  <w:footnote w:id="16">
    <w:p w14:paraId="4F24358F" w14:textId="77777777" w:rsidR="00C82998" w:rsidRDefault="00C82998" w:rsidP="00C82998">
      <w:pPr>
        <w:pStyle w:val="FootnoteText"/>
        <w:jc w:val="both"/>
      </w:pPr>
      <w:r w:rsidRPr="001F71E0">
        <w:rPr>
          <w:rStyle w:val="FootnoteReference"/>
        </w:rPr>
        <w:footnoteRef/>
      </w:r>
      <w:r>
        <w:t xml:space="preserve"> Cynthia </w:t>
      </w:r>
      <w:proofErr w:type="spellStart"/>
      <w:r>
        <w:t>Godsoe</w:t>
      </w:r>
      <w:proofErr w:type="spellEnd"/>
      <w:r>
        <w:t xml:space="preserve">, </w:t>
      </w:r>
      <w:r w:rsidRPr="00AF2BC0">
        <w:rPr>
          <w:i/>
          <w:iCs/>
        </w:rPr>
        <w:t>Racing &amp; Erasing Parental Rights</w:t>
      </w:r>
      <w:r>
        <w:t xml:space="preserve">, </w:t>
      </w:r>
      <w:r w:rsidRPr="00AF2BC0">
        <w:rPr>
          <w:smallCaps/>
        </w:rPr>
        <w:t>Bost. U. L. Rev.</w:t>
      </w:r>
      <w:r>
        <w:t xml:space="preserve"> (forthcoming)</w:t>
      </w:r>
      <w:r>
        <w:fldChar w:fldCharType="begin"/>
      </w:r>
      <w:r>
        <w:instrText xml:space="preserve"> ADDIN ZOTERO_ITEM CSL_CITATION {"citationID":"qEugfeTa","properties":{"formattedCitation":"Dailey and Rosenbury, {\\i{}supra} note 14; Huntington and Scott, {\\i{}supra} note 14.","plainCitation":"Dailey and Rosenbury, supra note 14; Huntington and Scott, supra note 14.","dontUpdate":true,"noteIndex":16},"citationItems":[{"id":3286,"uris":["http://zotero.org/users/14209839/items/5B43CEDV"],"itemData":{"id":3286,"type":"article-journal","container-title":"Duke Law Journal","issue":"1","journalAbbreviation":"Duke L.J.","language":"eng","page":"75-166","source":"HeinOnline","title":"The New Parental Rights","volume":"71","author":[{"family":"Dailey","given":"Anne C."},{"family":"Rosenbury","given":"Laura A."}],"issued":{"date-parts":[["2021"]],"season":"2022"},"citation-key":"daileyNewParentalRights2021a"}},{"id":3290,"uris":["http://zotero.org/users/14209839/items/LGGYN7XJ"],"itemData":{"id":3290,"type":"article-journal","container-title":"Fordham Law Review","issue":"6","journalAbbreviation":"Fordham L. Rev.","language":"eng","page":"2529-2540","source":"HeinOnline","title":"The Enduring Importance of Parental Rights Symposium: The Law of Parents and Parenting","title-short":"The Enduring Importance of Parental Rights Symposium","volume":"90","author":[{"family":"Huntington","given":"Clare"},{"family":"Scott","given":"Elizabeth"}],"issued":{"date-parts":[["2021"]],"season":"2022"},"citation-key":"huntingtonEnduringImportanceParental2021"}}],"schema":"https://github.com/citation-style-language/schema/raw/master/csl-citation.json"} </w:instrText>
      </w:r>
      <w:r>
        <w:fldChar w:fldCharType="separate"/>
      </w:r>
      <w:r w:rsidRPr="00A743D0">
        <w:rPr>
          <w:rFonts w:cs="Times New Roman"/>
          <w:lang w:val="en-GB"/>
        </w:rPr>
        <w:t>; Huntington and Scott,</w:t>
      </w:r>
      <w:r>
        <w:rPr>
          <w:rFonts w:cs="Times New Roman"/>
          <w:lang w:val="en-GB"/>
        </w:rPr>
        <w:t xml:space="preserve"> Enduring Importance,</w:t>
      </w:r>
      <w:r w:rsidRPr="00A743D0">
        <w:rPr>
          <w:rFonts w:cs="Times New Roman"/>
          <w:lang w:val="en-GB"/>
        </w:rPr>
        <w:t xml:space="preserve"> </w:t>
      </w:r>
      <w:r w:rsidRPr="00A743D0">
        <w:rPr>
          <w:rFonts w:cs="Times New Roman"/>
          <w:i/>
          <w:iCs/>
          <w:lang w:val="en-GB"/>
        </w:rPr>
        <w:t>supra</w:t>
      </w:r>
      <w:r w:rsidRPr="00A743D0">
        <w:rPr>
          <w:rFonts w:cs="Times New Roman"/>
          <w:lang w:val="en-GB"/>
        </w:rPr>
        <w:t xml:space="preserve"> note 14</w:t>
      </w:r>
      <w:r>
        <w:rPr>
          <w:rFonts w:cs="Times New Roman"/>
          <w:lang w:val="en-GB"/>
        </w:rPr>
        <w:t>, at 2532-33</w:t>
      </w:r>
      <w:r w:rsidRPr="00A743D0">
        <w:rPr>
          <w:rFonts w:cs="Times New Roman"/>
          <w:lang w:val="en-GB"/>
        </w:rPr>
        <w:t>.</w:t>
      </w:r>
      <w:r>
        <w:fldChar w:fldCharType="end"/>
      </w:r>
    </w:p>
  </w:footnote>
  <w:footnote w:id="17">
    <w:p w14:paraId="3B279560" w14:textId="77777777" w:rsidR="00C82998" w:rsidRDefault="00C82998" w:rsidP="00C82998">
      <w:pPr>
        <w:pStyle w:val="FootnoteText"/>
        <w:jc w:val="both"/>
      </w:pPr>
      <w:r>
        <w:rPr>
          <w:rStyle w:val="FootnoteReference"/>
        </w:rPr>
        <w:footnoteRef/>
      </w:r>
      <w:r>
        <w:t xml:space="preserve"> </w:t>
      </w:r>
      <w:r w:rsidRPr="00136496">
        <w:rPr>
          <w:i/>
          <w:iCs/>
        </w:rPr>
        <w:t xml:space="preserve">See generally </w:t>
      </w:r>
      <w:r>
        <w:rPr>
          <w:i/>
          <w:iCs/>
        </w:rPr>
        <w:fldChar w:fldCharType="begin"/>
      </w:r>
      <w:r>
        <w:rPr>
          <w:i/>
          <w:iCs/>
        </w:rPr>
        <w:instrText xml:space="preserve"> ADDIN ZOTERO_ITEM CSL_CITATION {"citationID":"GiLde8RG","properties":{"formattedCitation":"Emily Buss, {\\i{}\\uc0\\u8220{}Parental\\uc0\\u8221{} Rights Essay}, 88 {\\scaps Va. L. Rev.} 635 (2002); Douglas NeJaime, {\\i{}Parents in Fact}, 91 {\\scaps The University of Chicago Law Review} 513 (2024).","plainCitation":"Emily Buss, “Parental” Rights Essay, 88 Va. L. Rev. 635 (2002); Douglas NeJaime, Parents in Fact, 91 The University of Chicago Law Review 513 (2024).","dontUpdate":true,"noteIndex":17},"citationItems":[{"id":2911,"uris":["http://zotero.org/users/14209839/items/RKMER5MS"],"itemData":{"id":2911,"type":"article-journal","container-title":"Virginia Law Review","issue":"3","journalAbbreviation":"Va. L. Rev.","language":"eng","page":"635-684","source":"HeinOnline","title":"\"Parental\" Rights Essay","volume":"88","author":[{"family":"Buss","given":"Emily"}],"issued":{"date-parts":[["2002"]]},"citation-key":"bussParentalRightsEssay2002"}},{"id":4406,"uris":["http://zotero.org/users/local/Fg4jzsqf/items/JLT8GQN4","http://zotero.org/users/14209839/items/JLT8GQN4"],"itemData":{"id":4406,"type":"article-journal","container-title":"The University of Chicago Law Review","issue":"2","page":"513-555","title":"Parents in Fact","volume":"91","author":[{"family":"NeJaime","given":"Douglas"}],"issued":{"date-parts":[["2024"]]},"citation-key":"nejaimeParentsFact2024"}}],"schema":"https://github.com/citation-style-language/schema/raw/master/csl-citation.json"} </w:instrText>
      </w:r>
      <w:r>
        <w:rPr>
          <w:i/>
          <w:iCs/>
        </w:rPr>
        <w:fldChar w:fldCharType="separate"/>
      </w:r>
      <w:r w:rsidRPr="00AD0F2D">
        <w:rPr>
          <w:rFonts w:cs="Times New Roman"/>
          <w:lang w:val="en-GB"/>
        </w:rPr>
        <w:t xml:space="preserve">Emily Buss, </w:t>
      </w:r>
      <w:r w:rsidRPr="00AD0F2D">
        <w:rPr>
          <w:rFonts w:cs="Times New Roman"/>
          <w:i/>
          <w:iCs/>
          <w:lang w:val="en-GB"/>
        </w:rPr>
        <w:t>“Parental” Rights Essay</w:t>
      </w:r>
      <w:r w:rsidRPr="00AD0F2D">
        <w:rPr>
          <w:rFonts w:cs="Times New Roman"/>
          <w:lang w:val="en-GB"/>
        </w:rPr>
        <w:t xml:space="preserve">, 88 </w:t>
      </w:r>
      <w:r w:rsidRPr="00AD0F2D">
        <w:rPr>
          <w:rFonts w:cs="Times New Roman"/>
          <w:smallCaps/>
          <w:lang w:val="en-GB"/>
        </w:rPr>
        <w:t>Va. L. Rev.</w:t>
      </w:r>
      <w:r w:rsidRPr="00AD0F2D">
        <w:rPr>
          <w:rFonts w:cs="Times New Roman"/>
          <w:lang w:val="en-GB"/>
        </w:rPr>
        <w:t xml:space="preserve"> 635 (2002); Douglas </w:t>
      </w:r>
      <w:proofErr w:type="spellStart"/>
      <w:r w:rsidRPr="00AD0F2D">
        <w:rPr>
          <w:rFonts w:cs="Times New Roman"/>
          <w:lang w:val="en-GB"/>
        </w:rPr>
        <w:t>NeJaime</w:t>
      </w:r>
      <w:proofErr w:type="spellEnd"/>
      <w:r w:rsidRPr="00AD0F2D">
        <w:rPr>
          <w:rFonts w:cs="Times New Roman"/>
          <w:lang w:val="en-GB"/>
        </w:rPr>
        <w:t xml:space="preserve">, </w:t>
      </w:r>
      <w:r w:rsidRPr="00AD0F2D">
        <w:rPr>
          <w:rFonts w:cs="Times New Roman"/>
          <w:i/>
          <w:iCs/>
          <w:lang w:val="en-GB"/>
        </w:rPr>
        <w:t>Parents in Fact</w:t>
      </w:r>
      <w:r w:rsidRPr="00AD0F2D">
        <w:rPr>
          <w:rFonts w:cs="Times New Roman"/>
          <w:lang w:val="en-GB"/>
        </w:rPr>
        <w:t>, 91</w:t>
      </w:r>
      <w:r>
        <w:rPr>
          <w:rFonts w:cs="Times New Roman"/>
          <w:lang w:val="en-GB"/>
        </w:rPr>
        <w:t xml:space="preserve"> </w:t>
      </w:r>
      <w:r w:rsidRPr="00AD0F2D">
        <w:rPr>
          <w:rFonts w:cs="Times New Roman"/>
          <w:smallCaps/>
          <w:lang w:val="en-GB"/>
        </w:rPr>
        <w:t>U</w:t>
      </w:r>
      <w:r>
        <w:rPr>
          <w:rFonts w:cs="Times New Roman"/>
          <w:smallCaps/>
          <w:lang w:val="en-GB"/>
        </w:rPr>
        <w:t xml:space="preserve">. </w:t>
      </w:r>
      <w:r w:rsidRPr="00AD0F2D">
        <w:rPr>
          <w:rFonts w:cs="Times New Roman"/>
          <w:smallCaps/>
          <w:lang w:val="en-GB"/>
        </w:rPr>
        <w:t>Chi</w:t>
      </w:r>
      <w:r>
        <w:rPr>
          <w:rFonts w:cs="Times New Roman"/>
          <w:smallCaps/>
          <w:lang w:val="en-GB"/>
        </w:rPr>
        <w:t>.</w:t>
      </w:r>
      <w:r w:rsidRPr="00AD0F2D">
        <w:rPr>
          <w:rFonts w:cs="Times New Roman"/>
          <w:smallCaps/>
          <w:lang w:val="en-GB"/>
        </w:rPr>
        <w:t xml:space="preserve"> </w:t>
      </w:r>
      <w:r>
        <w:rPr>
          <w:rFonts w:cs="Times New Roman"/>
          <w:smallCaps/>
          <w:lang w:val="en-GB"/>
        </w:rPr>
        <w:t>L.</w:t>
      </w:r>
      <w:r w:rsidRPr="00AD0F2D">
        <w:rPr>
          <w:rFonts w:cs="Times New Roman"/>
          <w:smallCaps/>
          <w:lang w:val="en-GB"/>
        </w:rPr>
        <w:t xml:space="preserve"> Rev</w:t>
      </w:r>
      <w:r>
        <w:rPr>
          <w:rFonts w:cs="Times New Roman"/>
          <w:smallCaps/>
          <w:lang w:val="en-GB"/>
        </w:rPr>
        <w:t>.</w:t>
      </w:r>
      <w:r w:rsidRPr="00AD0F2D">
        <w:rPr>
          <w:rFonts w:cs="Times New Roman"/>
          <w:lang w:val="en-GB"/>
        </w:rPr>
        <w:t xml:space="preserve"> 513 (2024)</w:t>
      </w:r>
      <w:r>
        <w:rPr>
          <w:rFonts w:cs="Times New Roman"/>
          <w:lang w:val="en-GB"/>
        </w:rPr>
        <w:t>;</w:t>
      </w:r>
      <w:r>
        <w:rPr>
          <w:i/>
          <w:iCs/>
        </w:rPr>
        <w:fldChar w:fldCharType="end"/>
      </w:r>
      <w:r>
        <w:rPr>
          <w:i/>
          <w:iCs/>
        </w:rPr>
        <w:t xml:space="preserve"> </w:t>
      </w:r>
      <w:r>
        <w:t xml:space="preserve">for a discussion see </w:t>
      </w:r>
      <w:r>
        <w:rPr>
          <w:i/>
          <w:iCs/>
        </w:rPr>
        <w:t xml:space="preserve">infra </w:t>
      </w:r>
      <w:r>
        <w:t>Part IB.</w:t>
      </w:r>
    </w:p>
  </w:footnote>
  <w:footnote w:id="18">
    <w:p w14:paraId="789A6953" w14:textId="77777777" w:rsidR="00C82998" w:rsidRDefault="00C82998" w:rsidP="00C82998">
      <w:pPr>
        <w:pStyle w:val="FootnoteText"/>
        <w:jc w:val="both"/>
      </w:pPr>
      <w:r>
        <w:rPr>
          <w:rStyle w:val="FootnoteReference"/>
        </w:rPr>
        <w:footnoteRef/>
      </w:r>
      <w:r>
        <w:t xml:space="preserve"> </w:t>
      </w:r>
      <w:r w:rsidRPr="00136496">
        <w:rPr>
          <w:i/>
          <w:iCs/>
        </w:rPr>
        <w:t>See, e.g.,</w:t>
      </w:r>
      <w:r w:rsidRPr="0044093A">
        <w:rPr>
          <w:i/>
          <w:iCs/>
        </w:rPr>
        <w:t xml:space="preserve"> </w:t>
      </w:r>
      <w:r w:rsidRPr="0044093A">
        <w:fldChar w:fldCharType="begin"/>
      </w:r>
      <w:r>
        <w:instrText xml:space="preserve"> ADDIN ZOTERO_ITEM CSL_CITATION {"citationID":"3lEWFF9r","properties":{"formattedCitation":"Joanna L. Grossman, {\\i{}Constitutional Parentage Symposium: The Constitution and the Family}, 32 {\\scaps Const. Comment.} 307 (2017); Michael J. Higdon, {\\i{}Constitutional Parenthood}, 103 {\\scaps Iowa Law Review} 1483 (2018).","plainCitation":"Joanna L. Grossman, Constitutional Parentage Symposium: The Constitution and the Family, 32 Const. Comment. 307 (2017); Michael J. Higdon, Constitutional Parenthood, 103 Iowa Law Review 1483 (2018).","dontUpdate":true,"noteIndex":18},"citationItems":[{"id":1287,"uris":["http://zotero.org/users/14209839/items/UKCIHZGE"],"itemData":{"id":1287,"type":"article-journal","container-title":"Constitutional Commentary","issue":"2","journalAbbreviation":"Const. Comment.","language":"eng","page":"307-340","source":"HeinOnline","title":"Constitutional Parentage Symposium: The Constitution and the Family","title-short":"Constitutional Parentage Symposium","volume":"32","author":[{"family":"Grossman","given":"Joanna L."}],"issued":{"date-parts":[["2017"]]},"citation-key":"grossmanConstitutionalParentageSymposium2017"}},{"id":722,"uris":["http://zotero.org/users/14209839/items/7DRSSFXY"],"itemData":{"id":722,"type":"article-journal","abstract":"Despite having recognized the constitutional rights of parents almost a hundred years ago, the Supreme Court has not weighed in on the subject of who qualifies as a \"parent\" under the Fourteenth Amendment in 30 years. In light of the Court's silence, the states have been forced to individually grapple with the issue of constitutional parenthood--a task made exponentially more difficult by the fact that the last 30 years have ushered in an avalanche of change when it comes to the American family. With advances in assisted reproduction, the legalization of same-sex marriage, and the increased frequency of divorce, remarriage and cohabitation, states now regularly encounter claims of parental identity that 30 years ago would have been unimaginable. Nonetheless, the states have persevered, adopting a number of approaches to deal with these increasingly thorny issues. The problem, however, is that the constitutional protections that are afforded parents now vary by state. Moreover, some states have defined \"parent\" in a way that discriminates against families that do not comport with that state's conception of the \"ideal\" family. To solve this problem, this Article makes two proposals. First, the Supreme Court must offer more guidance on how states may define constitutional parenthood. Although a definitive definition of the term is both impractical and unrealistic, the Court can and should delineate the outer boundaries of that constitutional standard. Second, taking a cue from some of the tests developed by the states, this Article proposes what exactly those boundaries should be so as to help craft a definition of constitutional parenthood that is more responsive to and protective of the 21st century family.","container-title":"Iowa Law Review","ISSN":"00210552","issue":"4","page":"1483-1541","source":"EBSCOhost","title":"Constitutional Parenthood","volume":"103","author":[{"family":"Higdon","given":"Michael J."}],"issued":{"date-parts":[["2018",5]]},"citation-key":"higdonConstitutionalParenthood2018"}}],"schema":"https://github.com/citation-style-language/schema/raw/master/csl-citation.json"} </w:instrText>
      </w:r>
      <w:r w:rsidRPr="0044093A">
        <w:fldChar w:fldCharType="separate"/>
      </w:r>
      <w:r w:rsidRPr="0044093A">
        <w:rPr>
          <w:rFonts w:cs="Times New Roman"/>
          <w:lang w:val="en-GB"/>
        </w:rPr>
        <w:t xml:space="preserve">Joanna L. Grossman, </w:t>
      </w:r>
      <w:r w:rsidRPr="0044093A">
        <w:rPr>
          <w:rFonts w:cs="Times New Roman"/>
          <w:i/>
          <w:iCs/>
          <w:lang w:val="en-GB"/>
        </w:rPr>
        <w:t xml:space="preserve">Constitutional Parentage </w:t>
      </w:r>
      <w:r w:rsidRPr="0044093A">
        <w:rPr>
          <w:rFonts w:cs="Times New Roman"/>
          <w:lang w:val="en-GB"/>
        </w:rPr>
        <w:t xml:space="preserve">32 </w:t>
      </w:r>
      <w:r w:rsidRPr="0044093A">
        <w:rPr>
          <w:rFonts w:cs="Times New Roman"/>
          <w:smallCaps/>
          <w:lang w:val="en-GB"/>
        </w:rPr>
        <w:t>Const. Comment.</w:t>
      </w:r>
      <w:r w:rsidRPr="0044093A">
        <w:rPr>
          <w:rFonts w:cs="Times New Roman"/>
          <w:lang w:val="en-GB"/>
        </w:rPr>
        <w:t xml:space="preserve"> 307 (2017)</w:t>
      </w:r>
      <w:r>
        <w:rPr>
          <w:rFonts w:cs="Times New Roman"/>
          <w:lang w:val="en-GB"/>
        </w:rPr>
        <w:t xml:space="preserve">; </w:t>
      </w:r>
      <w:r w:rsidRPr="0044093A">
        <w:rPr>
          <w:rFonts w:cs="Times New Roman"/>
          <w:lang w:val="en-GB"/>
        </w:rPr>
        <w:t xml:space="preserve">Michael J. Higdon, </w:t>
      </w:r>
      <w:r w:rsidRPr="0044093A">
        <w:rPr>
          <w:rFonts w:cs="Times New Roman"/>
          <w:i/>
          <w:iCs/>
          <w:lang w:val="en-GB"/>
        </w:rPr>
        <w:t>Constitutional Parenthood</w:t>
      </w:r>
      <w:r w:rsidRPr="0044093A">
        <w:rPr>
          <w:rFonts w:cs="Times New Roman"/>
          <w:lang w:val="en-GB"/>
        </w:rPr>
        <w:t xml:space="preserve">, 103 </w:t>
      </w:r>
      <w:r w:rsidRPr="0044093A">
        <w:rPr>
          <w:rFonts w:cs="Times New Roman"/>
          <w:smallCaps/>
          <w:lang w:val="en-GB"/>
        </w:rPr>
        <w:t>Iowa L. Rev.</w:t>
      </w:r>
      <w:r w:rsidRPr="0044093A">
        <w:rPr>
          <w:rFonts w:cs="Times New Roman"/>
          <w:lang w:val="en-GB"/>
        </w:rPr>
        <w:t xml:space="preserve"> 1483 (2018)</w:t>
      </w:r>
      <w:r w:rsidRPr="0044093A">
        <w:fldChar w:fldCharType="end"/>
      </w:r>
      <w:r w:rsidRPr="0044093A">
        <w:t>.</w:t>
      </w:r>
    </w:p>
  </w:footnote>
  <w:footnote w:id="19">
    <w:p w14:paraId="56C7931B" w14:textId="77777777" w:rsidR="00C82998" w:rsidRDefault="00C82998" w:rsidP="00C82998">
      <w:pPr>
        <w:pStyle w:val="FootnoteText"/>
        <w:jc w:val="both"/>
      </w:pPr>
      <w:r w:rsidRPr="001F71E0">
        <w:rPr>
          <w:rStyle w:val="FootnoteReference"/>
        </w:rPr>
        <w:footnoteRef/>
      </w:r>
      <w:r>
        <w:t xml:space="preserve"> Traditional bases of parenthood may also include men who are treated as fathers due to the marital presumption even though they may not be genetically related to the child. </w:t>
      </w:r>
    </w:p>
  </w:footnote>
  <w:footnote w:id="20">
    <w:p w14:paraId="416359AF" w14:textId="77777777" w:rsidR="00C82998" w:rsidRDefault="00C82998" w:rsidP="00C82998">
      <w:pPr>
        <w:pStyle w:val="FootnoteText"/>
        <w:jc w:val="both"/>
      </w:pPr>
      <w:r w:rsidRPr="001F71E0">
        <w:rPr>
          <w:rStyle w:val="FootnoteReference"/>
        </w:rPr>
        <w:footnoteRef/>
      </w:r>
      <w:r>
        <w:t xml:space="preserve"> Non-biological parents usually refer to parents in heterosexual families who opt for ART or in same-sex families which often necessarily have a parent who is not biologically related to the child. </w:t>
      </w:r>
    </w:p>
  </w:footnote>
  <w:footnote w:id="21">
    <w:p w14:paraId="1B74777A" w14:textId="77777777" w:rsidR="00C82998" w:rsidRDefault="00C82998" w:rsidP="00C82998">
      <w:pPr>
        <w:pStyle w:val="FootnoteText"/>
        <w:jc w:val="both"/>
      </w:pPr>
      <w:r w:rsidRPr="001F71E0">
        <w:rPr>
          <w:rStyle w:val="FootnoteReference"/>
        </w:rPr>
        <w:footnoteRef/>
      </w:r>
      <w:r>
        <w:t xml:space="preserve"> Third parties are generally non-parental caregivers such as grandparents or relatives who may care for the child or perform parental roles. Stepparents in blended families, where adults may come into the child’s life due to their parents’ relationship with that person, may also perform similar parental roles.   </w:t>
      </w:r>
    </w:p>
  </w:footnote>
  <w:footnote w:id="22">
    <w:p w14:paraId="5E18422F" w14:textId="77777777" w:rsidR="00C82998" w:rsidRPr="00877DC7" w:rsidRDefault="00C82998" w:rsidP="00C82998">
      <w:pPr>
        <w:pStyle w:val="FootnoteText"/>
        <w:jc w:val="both"/>
      </w:pPr>
      <w:r>
        <w:rPr>
          <w:rStyle w:val="FootnoteReference"/>
        </w:rPr>
        <w:footnoteRef/>
      </w:r>
      <w:r>
        <w:t xml:space="preserve"> </w:t>
      </w:r>
      <w:r w:rsidRPr="00877DC7">
        <w:rPr>
          <w:i/>
          <w:iCs/>
        </w:rPr>
        <w:t xml:space="preserve">Infra </w:t>
      </w:r>
      <w:r>
        <w:t xml:space="preserve">Part IB. </w:t>
      </w:r>
    </w:p>
  </w:footnote>
  <w:footnote w:id="23">
    <w:p w14:paraId="63AFEE1F" w14:textId="77777777" w:rsidR="00C82998" w:rsidRDefault="00C82998" w:rsidP="00C82998">
      <w:pPr>
        <w:pStyle w:val="FootnoteText"/>
        <w:jc w:val="both"/>
      </w:pPr>
      <w:r w:rsidRPr="001F71E0">
        <w:rPr>
          <w:rStyle w:val="FootnoteReference"/>
        </w:rPr>
        <w:footnoteRef/>
      </w:r>
      <w:r>
        <w:t xml:space="preserve"> Of course, ordinary legal rights can also be strong and can limit State action, but constitutional law represents </w:t>
      </w:r>
      <w:r w:rsidRPr="002E348C">
        <w:t>superior law</w:t>
      </w:r>
      <w:r>
        <w:t xml:space="preserve"> to which ordinary law must necessarily conform to, </w:t>
      </w:r>
      <w:r>
        <w:fldChar w:fldCharType="begin"/>
      </w:r>
      <w:r>
        <w:instrText xml:space="preserve"> ADDIN ZOTERO_ITEM CSL_CITATION {"citationID":"HChUw3QI","properties":{"formattedCitation":"Joseph Raz, {\\i{}On the Authority and Interpretation of Constitutions: Some Preliminaries}, {\\i{}in} {\\scaps Between Authority and Interpretation: On the Theory of Law and Practical Reason} 0 (Joseph Raz ed., 2009), https://doi.org/10.1093/acprof:oso/9780199562688.003.0013 (last visited May 31, 2024).","plainCitation":"Joseph Raz, On the Authority and Interpretation of Constitutions: Some Preliminaries, in Between Authority and Interpretation: On the Theory of Law and Practical Reason 0 (Joseph Raz ed., 2009), https://doi.org/10.1093/acprof:oso/9780199562688.003.0013 (last visited May 31, 2024).","dontUpdate":true,"noteIndex":23},"citationItems":[{"id":4758,"uris":["http://zotero.org/users/14209839/items/5L5QA6QB"],"itemData":{"id":4758,"type":"chapter","abstract":"This chapter discusses the authority and interpretation of constitutions. A principle of constitutional theory that commands widespread support says that the principles of constitutional interpretation depend in part on the theory of constitutional authority. In determining the conditions for constitutional legitimacy, the theory of the authority of the constitution contributes to the determination of principles of interpretation. It is argued that this sound principle is also the source of many false analogies motivated by attempts to assimilate the authority of the constitution to that of other parts of the law.","container-title":"Between Authority and Interpretation: On the Theory of Law and Practical Reason","ISBN":"978-0-19-956268-8","note":"DOI: 10.1093/acprof:oso/9780199562688.003.0013","page":"0","publisher":"Oxford University Press","source":"Silverchair","title":"On the Authority and Interpretation of Constitutions: Some Preliminaries","title-short":"On the Authority and Interpretation of Constitutions","URL":"https://doi.org/10.1093/acprof:oso/9780199562688.003.0013","author":[{"family":"Raz","given":"Joseph"}],"editor":[{"family":"Raz","given":"Joseph"}],"accessed":{"date-parts":[["2024",5,31]]},"issued":{"date-parts":[["2009",2,19]]},"citation-key":"razAuthorityInterpretationConstitutions2009"}}],"schema":"https://github.com/citation-style-language/schema/raw/master/csl-citation.json"} </w:instrText>
      </w:r>
      <w:r>
        <w:fldChar w:fldCharType="separate"/>
      </w:r>
      <w:r w:rsidRPr="007D6BA8">
        <w:rPr>
          <w:rFonts w:cs="Times New Roman"/>
          <w:smallCaps/>
          <w:lang w:val="en-GB"/>
        </w:rPr>
        <w:t>Joseph Raz</w:t>
      </w:r>
      <w:r w:rsidRPr="00D3383C">
        <w:rPr>
          <w:rFonts w:cs="Times New Roman"/>
          <w:lang w:val="en-GB"/>
        </w:rPr>
        <w:t xml:space="preserve">, </w:t>
      </w:r>
      <w:r w:rsidRPr="00D3383C">
        <w:rPr>
          <w:rFonts w:cs="Times New Roman"/>
          <w:smallCaps/>
          <w:lang w:val="en-GB"/>
        </w:rPr>
        <w:t>Between Authority and Interpretation: On the Theory of Law and Practical Reason</w:t>
      </w:r>
      <w:r w:rsidRPr="00D3383C">
        <w:rPr>
          <w:rFonts w:cs="Times New Roman"/>
          <w:lang w:val="en-GB"/>
        </w:rPr>
        <w:t xml:space="preserve"> </w:t>
      </w:r>
      <w:r>
        <w:rPr>
          <w:rFonts w:cs="Times New Roman"/>
          <w:lang w:val="en-GB"/>
        </w:rPr>
        <w:t>323, 324-35</w:t>
      </w:r>
      <w:r w:rsidRPr="00D3383C">
        <w:rPr>
          <w:rFonts w:cs="Times New Roman"/>
          <w:lang w:val="en-GB"/>
        </w:rPr>
        <w:t xml:space="preserve"> (2009).</w:t>
      </w:r>
      <w:r>
        <w:fldChar w:fldCharType="end"/>
      </w:r>
      <w:r>
        <w:t xml:space="preserve"> For an account of how U.S. constitutional law generally approaches rights adjudication, </w:t>
      </w:r>
      <w:r w:rsidRPr="00A9547F">
        <w:rPr>
          <w:i/>
          <w:iCs/>
        </w:rPr>
        <w:t>see</w:t>
      </w:r>
      <w:r>
        <w:t xml:space="preserve"> </w:t>
      </w:r>
      <w:r>
        <w:fldChar w:fldCharType="begin"/>
      </w:r>
      <w:r>
        <w:instrText xml:space="preserve"> ADDIN ZOTERO_ITEM CSL_CITATION {"citationID":"5in0BI8v","properties":{"formattedCitation":"Jamal Greene, {\\i{}Rights as Trumps The Supreme Court 2017 Term: Foreword}, 132 {\\scaps Harv. L. Rev.} 28 (2018).","plainCitation":"Jamal Greene, Rights as Trumps The Supreme Court 2017 Term: Foreword, 132 Harv. L. Rev. 28 (2018).","noteIndex":23},"citationItems":[{"id":4752,"uris":["http://zotero.org/users/14209839/items/IBJ6P8NP"],"itemData":{"id":4752,"type":"article-journal","container-title":"Harvard Law Review","issue":"1","journalAbbreviation":"Harv. L. Rev.","language":"eng","page":"28-132","source":"HeinOnline","title":"Rights as Trumps The Supreme Court 2017 Term: Foreword","title-short":"Rights as Trumps The Supreme Court 2017 Term","volume":"132","author":[{"family":"Greene","given":"Jamal"}],"issued":{"date-parts":[["2018"]],"season":"2019"},"citation-key":"greeneRightsTrumpsSupreme2018"}}],"schema":"https://github.com/citation-style-language/schema/raw/master/csl-citation.json"} </w:instrText>
      </w:r>
      <w:r>
        <w:fldChar w:fldCharType="separate"/>
      </w:r>
      <w:r w:rsidRPr="00EF12D8">
        <w:rPr>
          <w:rFonts w:cs="Times New Roman"/>
          <w:lang w:val="en-GB"/>
        </w:rPr>
        <w:t xml:space="preserve">Jamal Greene, </w:t>
      </w:r>
      <w:r w:rsidRPr="00EF12D8">
        <w:rPr>
          <w:rFonts w:cs="Times New Roman"/>
          <w:i/>
          <w:iCs/>
          <w:lang w:val="en-GB"/>
        </w:rPr>
        <w:t>Rights as Trumps The Supreme Court 2017 Term: Foreword</w:t>
      </w:r>
      <w:r w:rsidRPr="00EF12D8">
        <w:rPr>
          <w:rFonts w:cs="Times New Roman"/>
          <w:lang w:val="en-GB"/>
        </w:rPr>
        <w:t xml:space="preserve">, 132 </w:t>
      </w:r>
      <w:r w:rsidRPr="00EF12D8">
        <w:rPr>
          <w:rFonts w:cs="Times New Roman"/>
          <w:smallCaps/>
          <w:lang w:val="en-GB"/>
        </w:rPr>
        <w:t>Harv. L. Rev.</w:t>
      </w:r>
      <w:r w:rsidRPr="00EF12D8">
        <w:rPr>
          <w:rFonts w:cs="Times New Roman"/>
          <w:lang w:val="en-GB"/>
        </w:rPr>
        <w:t xml:space="preserve"> 28 (2018).</w:t>
      </w:r>
      <w:r>
        <w:fldChar w:fldCharType="end"/>
      </w:r>
    </w:p>
  </w:footnote>
  <w:footnote w:id="24">
    <w:p w14:paraId="6F4F0E6D" w14:textId="77777777" w:rsidR="00C82998" w:rsidRDefault="00C82998" w:rsidP="00C82998">
      <w:pPr>
        <w:pStyle w:val="FootnoteText"/>
        <w:jc w:val="both"/>
      </w:pPr>
      <w:r w:rsidRPr="001F71E0">
        <w:rPr>
          <w:rStyle w:val="FootnoteReference"/>
        </w:rPr>
        <w:footnoteRef/>
      </w:r>
      <w:r>
        <w:t xml:space="preserve"> </w:t>
      </w:r>
      <w:r w:rsidRPr="00622EAA">
        <w:t>While England is part of the United Kingdom of Great Britain and Northern Ireland (comprising England, Scotland, Wales, and Northern Ireland)</w:t>
      </w:r>
      <w:r>
        <w:t xml:space="preserve"> family laws differ in each jurisdiction. I exclusively focus on family law in England.</w:t>
      </w:r>
    </w:p>
  </w:footnote>
  <w:footnote w:id="25">
    <w:p w14:paraId="46E94C68" w14:textId="77777777" w:rsidR="00C82998" w:rsidRPr="001C44DF" w:rsidRDefault="00C82998" w:rsidP="00C82998">
      <w:pPr>
        <w:jc w:val="both"/>
        <w:rPr>
          <w:sz w:val="20"/>
          <w:szCs w:val="20"/>
        </w:rPr>
      </w:pPr>
      <w:r w:rsidRPr="001F71E0">
        <w:rPr>
          <w:rStyle w:val="FootnoteReference"/>
          <w:sz w:val="20"/>
          <w:szCs w:val="20"/>
        </w:rPr>
        <w:footnoteRef/>
      </w:r>
      <w:r w:rsidRPr="001F71E0">
        <w:rPr>
          <w:sz w:val="20"/>
          <w:szCs w:val="20"/>
          <w:vertAlign w:val="superscript"/>
        </w:rPr>
        <w:t xml:space="preserve"> </w:t>
      </w:r>
      <w:r w:rsidRPr="005D53B2">
        <w:rPr>
          <w:smallCaps/>
          <w:sz w:val="20"/>
          <w:szCs w:val="20"/>
        </w:rPr>
        <w:t xml:space="preserve">Mary Ann Glendon, The Transformation of Family Law: State, Law and the Family in the United States </w:t>
      </w:r>
      <w:r>
        <w:rPr>
          <w:smallCaps/>
          <w:sz w:val="20"/>
          <w:szCs w:val="20"/>
        </w:rPr>
        <w:t>a</w:t>
      </w:r>
      <w:r w:rsidRPr="005D53B2">
        <w:rPr>
          <w:smallCaps/>
          <w:sz w:val="20"/>
          <w:szCs w:val="20"/>
        </w:rPr>
        <w:t>nd Western Europe</w:t>
      </w:r>
      <w:r>
        <w:rPr>
          <w:sz w:val="20"/>
          <w:szCs w:val="20"/>
        </w:rPr>
        <w:t xml:space="preserve"> 4 (1989).  </w:t>
      </w:r>
    </w:p>
  </w:footnote>
  <w:footnote w:id="26">
    <w:p w14:paraId="7F24FF54" w14:textId="77777777" w:rsidR="00C82998" w:rsidRDefault="00C82998" w:rsidP="00C82998">
      <w:pPr>
        <w:pStyle w:val="FootnoteText"/>
        <w:jc w:val="both"/>
      </w:pPr>
      <w:r w:rsidRPr="001F71E0">
        <w:rPr>
          <w:rStyle w:val="FootnoteReference"/>
        </w:rPr>
        <w:footnoteRef/>
      </w:r>
      <w:r>
        <w:t xml:space="preserve"> </w:t>
      </w:r>
      <w:r>
        <w:rPr>
          <w:i/>
          <w:iCs/>
        </w:rPr>
        <w:t>S</w:t>
      </w:r>
      <w:r w:rsidRPr="00DE15A8">
        <w:rPr>
          <w:i/>
          <w:iCs/>
        </w:rPr>
        <w:t>ee generally</w:t>
      </w:r>
      <w:r>
        <w:t xml:space="preserve"> </w:t>
      </w:r>
      <w:r>
        <w:fldChar w:fldCharType="begin"/>
      </w:r>
      <w:r>
        <w:instrText xml:space="preserve"> ADDIN ZOTERO_ITEM CSL_CITATION {"citationID":"LIWyEARn","properties":{"formattedCitation":"{\\scaps Michael Grossberg}, {\\scaps Governing the Hearth: Law and the Family in Nineteenth-Century America} (1985); {\\scaps Hendrik Hartog}, {\\scaps Man and Wife in America: A History} (2000); Janet Halley, {\\i{}What Is Family Law?: A Genealogy Part I}, {\\scaps Yale Journal of Law &amp; the Humanities} (2013), https://openyls.law.yale.edu/handle/20.500.13051/7461 (last visited Sep 6, 2022).","plainCitation":"Michael Grossberg, Governing the Hearth: Law and the Family in Nineteenth-Century America (1985); Hendrik Hartog, Man and Wife in America: A History (2000); Janet Halley, What Is Family Law?: A Genealogy Part I, Yale Journal of Law &amp; the Humanities (2013), https://openyls.law.yale.edu/handle/20.500.13051/7461 (last visited Sep 6, 2022).","dontUpdate":true,"noteIndex":26},"citationItems":[{"id":1331,"uris":["http://zotero.org/users/local/Fg4jzsqf/items/58N2UX8I","http://zotero.org/users/14209839/items/58N2UX8I"],"itemData":{"id":1331,"type":"book","title":"Governing the Hearth: Law and the Family in Nineteenth-Century America","author":[{"family":"Grossberg","given":"Michael"}],"issued":{"date-parts":[["1985"]]},"citation-key":"grossbergGoverningHearthLaw1985"}},{"id":3827,"uris":["http://zotero.org/users/14209839/items/8EWAIC3S"],"itemData":{"id":3827,"type":"book","title":"Man and Wife in America: A History","author":[{"family":"Hartog","given":"Hendrik"}],"issued":{"date-parts":[["2000"]]},"citation-key":"hartogManWifeAmerica2000"}},{"id":165,"uris":["http://zotero.org/users/14209839/items/JZWGU5V5"],"itemData":{"id":165,"type":"article-journal","abstract":"What is the place of the family in legal scholarship and teaching, and in deep, implicit ideas about how our legal order is arranged? How did it get to be that way? Published in two separate Parts, this Article tells a story of American family law: how the law of Domestic Relations emerged as a distinct legal topic in late-nineteenth-century legal treatises, and what ideological conditions facilitated its renaming and reconstruction as Family Law in the Family Courts and casebooks of the twentieth century. Almost without exception, throughout this account Domestic Relations/Family Law are what they are by virtue of their categorical distinction from the law of contract and, more broadly, the law of the market. This distinction did not always seem natural: this Article tells how it was invented. The resulting market/family distinction remains a latent but structural element of the legal curriculum and the legal order more generally today. This Article calls that distinction into question and suggests that family law should be restructured to connect it for the first time to domains of law more readily understood to relate directly to the market: economically significant productivity, social security provision, and the fair or unfair distribution of economic resources. My story comes in three time periods, corresponding with Duncan Kennedy's three globalizations of legal thought. The first is the classical era, roughly the last half of the nineteenth century. The second is the era of \"the social\" - characterized by the sociological jurisprudes' and legal realists' attack on the classical legal order and restructuring of legal taxonomy-spanning roughly the first half of the twentieth century. And the last is the era of conflicting considerations, roughly the last half of the twentieth century.","container-title":"Yale Journal of Law &amp; the Humanities","language":"en","note":"Accepted: 2021-11-26T11:55:53Z","source":"openyls.law.yale.edu","title":"What is Family Law?: A Genealogy Part I","title-short":"What is Family Law?","URL":"https://openyls.law.yale.edu/handle/20.500.13051/7461","author":[{"family":"Halley","given":"Janet"}],"accessed":{"date-parts":[["2022",9,6]]},"issued":{"date-parts":[["2013",5,8]]},"citation-key":"halleyWhatFamilyLaw2013a"}}],"schema":"https://github.com/citation-style-language/schema/raw/master/csl-citation.json"} </w:instrText>
      </w:r>
      <w:r>
        <w:fldChar w:fldCharType="separate"/>
      </w:r>
      <w:r w:rsidRPr="00871C26">
        <w:rPr>
          <w:rFonts w:cs="Times New Roman"/>
          <w:smallCaps/>
          <w:lang w:val="en-GB"/>
        </w:rPr>
        <w:t>Michael Grossberg</w:t>
      </w:r>
      <w:r w:rsidRPr="00871C26">
        <w:rPr>
          <w:rFonts w:cs="Times New Roman"/>
          <w:lang w:val="en-GB"/>
        </w:rPr>
        <w:t xml:space="preserve">, </w:t>
      </w:r>
      <w:r w:rsidRPr="00871C26">
        <w:rPr>
          <w:rFonts w:cs="Times New Roman"/>
          <w:smallCaps/>
          <w:lang w:val="en-GB"/>
        </w:rPr>
        <w:t>Governing the Hearth: Law and the Family in Nineteenth-Century America</w:t>
      </w:r>
      <w:r w:rsidRPr="00871C26">
        <w:rPr>
          <w:rFonts w:cs="Times New Roman"/>
          <w:lang w:val="en-GB"/>
        </w:rPr>
        <w:t xml:space="preserve"> (1985); </w:t>
      </w:r>
      <w:r w:rsidRPr="00871C26">
        <w:rPr>
          <w:rFonts w:cs="Times New Roman"/>
          <w:smallCaps/>
          <w:lang w:val="en-GB"/>
        </w:rPr>
        <w:t>Hendrik Hartog</w:t>
      </w:r>
      <w:r w:rsidRPr="00871C26">
        <w:rPr>
          <w:rFonts w:cs="Times New Roman"/>
          <w:lang w:val="en-GB"/>
        </w:rPr>
        <w:t xml:space="preserve">, </w:t>
      </w:r>
      <w:r w:rsidRPr="00871C26">
        <w:rPr>
          <w:rFonts w:cs="Times New Roman"/>
          <w:smallCaps/>
          <w:lang w:val="en-GB"/>
        </w:rPr>
        <w:t>Man and Wife in America: A History</w:t>
      </w:r>
      <w:r w:rsidRPr="00871C26">
        <w:rPr>
          <w:rFonts w:cs="Times New Roman"/>
          <w:lang w:val="en-GB"/>
        </w:rPr>
        <w:t xml:space="preserve"> (2000); Janet Halley, </w:t>
      </w:r>
      <w:r w:rsidRPr="00871C26">
        <w:rPr>
          <w:rFonts w:cs="Times New Roman"/>
          <w:i/>
          <w:iCs/>
          <w:lang w:val="en-GB"/>
        </w:rPr>
        <w:t>What Is Family Law?: A Genealogy Part I</w:t>
      </w:r>
      <w:r w:rsidRPr="00871C26">
        <w:rPr>
          <w:rFonts w:cs="Times New Roman"/>
          <w:lang w:val="en-GB"/>
        </w:rPr>
        <w:t xml:space="preserve">, </w:t>
      </w:r>
      <w:r w:rsidRPr="00871C26">
        <w:rPr>
          <w:rFonts w:cs="Times New Roman"/>
          <w:smallCaps/>
          <w:lang w:val="en-GB"/>
        </w:rPr>
        <w:t>Yale J</w:t>
      </w:r>
      <w:r>
        <w:rPr>
          <w:rFonts w:cs="Times New Roman"/>
          <w:smallCaps/>
          <w:lang w:val="en-GB"/>
        </w:rPr>
        <w:t>.</w:t>
      </w:r>
      <w:r w:rsidRPr="00871C26">
        <w:rPr>
          <w:rFonts w:cs="Times New Roman"/>
          <w:smallCaps/>
          <w:lang w:val="en-GB"/>
        </w:rPr>
        <w:t xml:space="preserve"> L</w:t>
      </w:r>
      <w:r>
        <w:rPr>
          <w:rFonts w:cs="Times New Roman"/>
          <w:smallCaps/>
          <w:lang w:val="en-GB"/>
        </w:rPr>
        <w:t>.</w:t>
      </w:r>
      <w:r w:rsidRPr="00871C26">
        <w:rPr>
          <w:rFonts w:cs="Times New Roman"/>
          <w:smallCaps/>
          <w:lang w:val="en-GB"/>
        </w:rPr>
        <w:t xml:space="preserve"> </w:t>
      </w:r>
      <w:r>
        <w:rPr>
          <w:rFonts w:cs="Times New Roman"/>
          <w:smallCaps/>
          <w:lang w:val="en-GB"/>
        </w:rPr>
        <w:t xml:space="preserve">&amp; </w:t>
      </w:r>
      <w:r w:rsidRPr="00871C26">
        <w:rPr>
          <w:rFonts w:cs="Times New Roman"/>
          <w:smallCaps/>
          <w:lang w:val="en-GB"/>
        </w:rPr>
        <w:t>Human</w:t>
      </w:r>
      <w:r>
        <w:rPr>
          <w:rFonts w:cs="Times New Roman"/>
          <w:smallCaps/>
          <w:lang w:val="en-GB"/>
        </w:rPr>
        <w:t>.</w:t>
      </w:r>
      <w:r w:rsidRPr="00871C26">
        <w:rPr>
          <w:rFonts w:cs="Times New Roman"/>
          <w:lang w:val="en-GB"/>
        </w:rPr>
        <w:t xml:space="preserve"> (2013)</w:t>
      </w:r>
      <w:r>
        <w:rPr>
          <w:rFonts w:cs="Times New Roman"/>
          <w:lang w:val="en-GB"/>
        </w:rPr>
        <w:t>.</w:t>
      </w:r>
      <w:r>
        <w:fldChar w:fldCharType="end"/>
      </w:r>
    </w:p>
  </w:footnote>
  <w:footnote w:id="27">
    <w:p w14:paraId="496439A5" w14:textId="77777777" w:rsidR="00C82998" w:rsidRDefault="00C82998" w:rsidP="00C82998">
      <w:pPr>
        <w:pStyle w:val="FootnoteText"/>
        <w:jc w:val="both"/>
      </w:pPr>
      <w:r w:rsidRPr="001F71E0">
        <w:rPr>
          <w:rStyle w:val="FootnoteReference"/>
        </w:rPr>
        <w:footnoteRef/>
      </w:r>
      <w:r>
        <w:t xml:space="preserve"> </w:t>
      </w:r>
      <w:r w:rsidRPr="00AE3978">
        <w:t>While the U</w:t>
      </w:r>
      <w:r>
        <w:t xml:space="preserve">nited </w:t>
      </w:r>
      <w:r w:rsidRPr="00AE3978">
        <w:t>K</w:t>
      </w:r>
      <w:r>
        <w:t>ingdom</w:t>
      </w:r>
      <w:r w:rsidRPr="00AE3978">
        <w:t xml:space="preserve"> does not have a written constitution it is governed by a broad set of constitutional rules dispersed across various documents as well as constitutional conventions, </w:t>
      </w:r>
      <w:r w:rsidRPr="00AE3978">
        <w:rPr>
          <w:i/>
          <w:iCs/>
        </w:rPr>
        <w:t>see generally</w:t>
      </w:r>
      <w:r w:rsidRPr="00AE3978">
        <w:t xml:space="preserve"> </w:t>
      </w:r>
      <w:r w:rsidRPr="00AE3978">
        <w:fldChar w:fldCharType="begin"/>
      </w:r>
      <w:r>
        <w:instrText xml:space="preserve"> ADDIN ZOTERO_ITEM CSL_CITATION {"citationID":"t602vkmv","properties":{"formattedCitation":"{\\scaps N. W. Barber}, {\\scaps The United Kingdom Constitution: An Introduction}, https://academic.oup.com/book/41406 (last visited Jun 21, 2024).","plainCitation":"N. W. Barber, The United Kingdom Constitution: An Introduction, https://academic.oup.com/book/41406 (last visited Jun 21, 2024).","dontUpdate":true,"noteIndex":27},"citationItems":[{"id":4808,"uris":["http://zotero.org/users/14209839/items/FYZ28WVZ"],"itemData":{"id":4808,"type":"book","abstract":"Abstract. This volume provides an introduction to the United Kingdom’s constitution that recognises and embraces its historical, social, political, and leg","language":"en","source":"academic.oup.com","title":"The United Kingdom Constitution: An Introduction","title-short":"The United Kingdom Constitution","URL":"https://academic.oup.com/book/41406","author":[{"family":"Barber","given":"N. W."}],"accessed":{"date-parts":[["2024",6,21]]},"citation-key":"barberUnitedKingdomConstitution"}}],"schema":"https://github.com/citation-style-language/schema/raw/master/csl-citation.json"} </w:instrText>
      </w:r>
      <w:r w:rsidRPr="00AE3978">
        <w:fldChar w:fldCharType="separate"/>
      </w:r>
      <w:r w:rsidRPr="00AE3978">
        <w:rPr>
          <w:rFonts w:cs="Times New Roman"/>
          <w:smallCaps/>
          <w:lang w:val="en-GB"/>
        </w:rPr>
        <w:t>N. W. Barber</w:t>
      </w:r>
      <w:r w:rsidRPr="00AE3978">
        <w:rPr>
          <w:rFonts w:cs="Times New Roman"/>
          <w:lang w:val="en-GB"/>
        </w:rPr>
        <w:t xml:space="preserve">, </w:t>
      </w:r>
      <w:r w:rsidRPr="00AE3978">
        <w:rPr>
          <w:rFonts w:cs="Times New Roman"/>
          <w:smallCaps/>
          <w:lang w:val="en-GB"/>
        </w:rPr>
        <w:t>The United Kingdom Constitution: An Introduction</w:t>
      </w:r>
      <w:r w:rsidRPr="00AE3978">
        <w:rPr>
          <w:rFonts w:cs="Times New Roman"/>
          <w:lang w:val="en-GB"/>
        </w:rPr>
        <w:t xml:space="preserve"> (2021).</w:t>
      </w:r>
      <w:r w:rsidRPr="00AE3978">
        <w:fldChar w:fldCharType="end"/>
      </w:r>
      <w:r>
        <w:t xml:space="preserve"> For why parents’ rights remain weak, see </w:t>
      </w:r>
      <w:r w:rsidRPr="00BF6AC6">
        <w:rPr>
          <w:i/>
          <w:iCs/>
        </w:rPr>
        <w:t>infra</w:t>
      </w:r>
      <w:r>
        <w:t xml:space="preserve"> Part IIB. </w:t>
      </w:r>
    </w:p>
  </w:footnote>
  <w:footnote w:id="28">
    <w:p w14:paraId="250439A6" w14:textId="77777777" w:rsidR="00C82998" w:rsidRDefault="00C82998" w:rsidP="00C82998">
      <w:pPr>
        <w:pStyle w:val="FootnoteText"/>
        <w:jc w:val="both"/>
      </w:pPr>
      <w:r w:rsidRPr="001F71E0">
        <w:rPr>
          <w:rStyle w:val="FootnoteReference"/>
        </w:rPr>
        <w:footnoteRef/>
      </w:r>
      <w:r>
        <w:t xml:space="preserve"> </w:t>
      </w:r>
      <w:r w:rsidRPr="006F1B40">
        <w:t xml:space="preserve">While ‘parentage’ generally refers to genetic parents in English law, American law often uses ‘parentage’ and ‘parenthood’ interchangeably. ‘Parentage’ often refers to legal parents, while ‘parenthood’ is used more broadly to also refer to parents who enjoy certain rights and responsibilities but may not be legal parents.  To avoid confusion, I </w:t>
      </w:r>
      <w:r>
        <w:t xml:space="preserve">do not </w:t>
      </w:r>
      <w:r w:rsidRPr="006F1B40">
        <w:t>us</w:t>
      </w:r>
      <w:r>
        <w:t>e</w:t>
      </w:r>
      <w:r w:rsidRPr="006F1B40">
        <w:t xml:space="preserve"> the term ‘parentage’ and only use the term ‘parenthood’. I use the term ‘legal parenthood’ when I specifically emphasize legal parents. I use the term ‘parental rights and responsibilities’ to broadly refer to the various decision-making and child-related rights and obligations that the law confers upon parents. I use the term ‘</w:t>
      </w:r>
      <w:r>
        <w:t>p</w:t>
      </w:r>
      <w:r w:rsidRPr="006F1B40">
        <w:t xml:space="preserve">arents’ rights’ to specifically refer to the rights </w:t>
      </w:r>
      <w:r>
        <w:t>p</w:t>
      </w:r>
      <w:r w:rsidRPr="006F1B40">
        <w:t>arents possess as legal parents, including when these rights are constitutionalized.</w:t>
      </w:r>
      <w:r>
        <w:t xml:space="preserve"> </w:t>
      </w:r>
    </w:p>
  </w:footnote>
  <w:footnote w:id="29">
    <w:p w14:paraId="2E244C74" w14:textId="77777777" w:rsidR="00C82998" w:rsidRDefault="00C82998" w:rsidP="00C82998">
      <w:pPr>
        <w:pStyle w:val="FootnoteText"/>
        <w:jc w:val="both"/>
      </w:pPr>
      <w:r>
        <w:rPr>
          <w:rStyle w:val="FootnoteReference"/>
        </w:rPr>
        <w:footnoteRef/>
      </w:r>
      <w:r>
        <w:t xml:space="preserve"> </w:t>
      </w:r>
      <w:r w:rsidRPr="00A012F1">
        <w:t xml:space="preserve">This may be broadly true for European jurisdictions, </w:t>
      </w:r>
      <w:r w:rsidRPr="00FC22D7">
        <w:rPr>
          <w:i/>
          <w:iCs/>
        </w:rPr>
        <w:t>see generally</w:t>
      </w:r>
      <w:r>
        <w:t xml:space="preserve"> </w:t>
      </w:r>
      <w:r>
        <w:fldChar w:fldCharType="begin"/>
      </w:r>
      <w:r>
        <w:instrText xml:space="preserve"> ADDIN ZOTERO_ITEM CSL_CITATION {"citationID":"SDEAzLrY","properties":{"formattedCitation":"Clare Huntington, Courtney G. Joslin &amp; Christiane von Bary, {\\i{}Conclusion: The Future of Social Parenthood}, {\\i{}in} {\\scaps Conclusion: The Future of Social Parenthood} 231 (2023), https://www.degruyter.com/document/doi/10.18574/nyu/9781479814138.003.0017/html (last visited Aug 9, 2023).","plainCitation":"Clare Huntington, Courtney G. Joslin &amp; Christiane von Bary, Conclusion: The Future of Social Parenthood, in Conclusion: The Future of Social Parenthood 231 (2023), https://www.degruyter.com/document/doi/10.18574/nyu/9781479814138.003.0017/html (last visited Aug 9, 2023).","dontUpdate":true,"noteIndex":29},"citationItems":[{"id":3480,"uris":["http://zotero.org/users/14209839/items/22LVV4WK"],"itemData":{"id":3480,"type":"chapter","abstract":"Conclusion: The Future of Social Parenthood was published in Social Parenthood in Comparative Perspective on page 231.","container-title":"Conclusion: The Future of Social Parenthood","ISBN":"978-1-4798-1413-8","language":"en","license":"De Gruyter expressly reserves the right to use all content for commercial text and data mining within the meaning of Section 44b of the German Copyright Act.","note":"DOI: 10.18574/nyu/9781479814138.003.0017","page":"231-242","publisher":"New York University Press","source":"www.degruyter.com","title":"Conclusion: The Future of Social Parenthood","title-short":"Conclusion","URL":"https://www.degruyter.com/document/doi/10.18574/nyu/9781479814138.003.0017/html","author":[{"family":"Huntington","given":"Clare"},{"family":"Joslin","given":"Courtney G."},{"family":"Bary","given":"Christiane","dropping-particle":"von"}],"accessed":{"date-parts":[["2023",8,9]]},"issued":{"date-parts":[["2023",7,12]]},"citation-key":"huntingtonConclusionFutureSocial2023"}}],"schema":"https://github.com/citation-style-language/schema/raw/master/csl-citation.json"} </w:instrText>
      </w:r>
      <w:r>
        <w:fldChar w:fldCharType="separate"/>
      </w:r>
      <w:r w:rsidRPr="008519B2">
        <w:rPr>
          <w:rFonts w:cs="Times New Roman"/>
          <w:smallCaps/>
          <w:lang w:val="en-GB"/>
        </w:rPr>
        <w:t>Social Parenthood in Comparative Perspective</w:t>
      </w:r>
      <w:r w:rsidRPr="008519B2">
        <w:rPr>
          <w:rFonts w:cs="Times New Roman"/>
          <w:lang w:val="en-GB"/>
        </w:rPr>
        <w:t xml:space="preserve"> (</w:t>
      </w:r>
      <w:r>
        <w:rPr>
          <w:rFonts w:cs="Times New Roman"/>
          <w:lang w:val="en-GB"/>
        </w:rPr>
        <w:t xml:space="preserve">Clare Huntington, Courtney G. Joslin &amp; Christiane Von Bary eds., </w:t>
      </w:r>
      <w:r w:rsidRPr="008519B2">
        <w:rPr>
          <w:rFonts w:cs="Times New Roman"/>
          <w:lang w:val="en-GB"/>
        </w:rPr>
        <w:t>2023).</w:t>
      </w:r>
      <w:r>
        <w:fldChar w:fldCharType="end"/>
      </w:r>
    </w:p>
  </w:footnote>
  <w:footnote w:id="30">
    <w:p w14:paraId="4195CBFE" w14:textId="77777777" w:rsidR="00C82998" w:rsidRDefault="00C82998" w:rsidP="00C82998">
      <w:pPr>
        <w:pStyle w:val="FootnoteText"/>
        <w:jc w:val="both"/>
      </w:pPr>
      <w:r w:rsidRPr="001F71E0">
        <w:rPr>
          <w:rStyle w:val="FootnoteReference"/>
        </w:rPr>
        <w:footnoteRef/>
      </w:r>
      <w:r>
        <w:t xml:space="preserve"> </w:t>
      </w:r>
      <w:r w:rsidRPr="0029230F">
        <w:rPr>
          <w:i/>
          <w:iCs/>
        </w:rPr>
        <w:t>Infra</w:t>
      </w:r>
      <w:r>
        <w:t xml:space="preserve"> Part III.</w:t>
      </w:r>
    </w:p>
  </w:footnote>
  <w:footnote w:id="31">
    <w:p w14:paraId="2ABF9E8D" w14:textId="77777777" w:rsidR="00C82998" w:rsidRDefault="00C82998" w:rsidP="00C82998">
      <w:pPr>
        <w:pStyle w:val="FootnoteText"/>
        <w:jc w:val="both"/>
      </w:pPr>
      <w:r w:rsidRPr="001F71E0">
        <w:rPr>
          <w:rStyle w:val="FootnoteReference"/>
        </w:rPr>
        <w:footnoteRef/>
      </w:r>
      <w:r>
        <w:t xml:space="preserve"> </w:t>
      </w:r>
      <w:r w:rsidRPr="008F41D2">
        <w:rPr>
          <w:i/>
          <w:iCs/>
        </w:rPr>
        <w:t>Infra</w:t>
      </w:r>
      <w:r>
        <w:t xml:space="preserve"> Part III. </w:t>
      </w:r>
    </w:p>
  </w:footnote>
  <w:footnote w:id="32">
    <w:p w14:paraId="14324172" w14:textId="77777777" w:rsidR="00C82998" w:rsidRDefault="00C82998" w:rsidP="00C82998">
      <w:pPr>
        <w:pStyle w:val="FootnoteText"/>
        <w:jc w:val="both"/>
      </w:pPr>
      <w:r w:rsidRPr="001F71E0">
        <w:rPr>
          <w:rStyle w:val="FootnoteReference"/>
        </w:rPr>
        <w:footnoteRef/>
      </w:r>
      <w:r>
        <w:t xml:space="preserve"> </w:t>
      </w:r>
      <w:r w:rsidRPr="008F41D2">
        <w:rPr>
          <w:i/>
          <w:iCs/>
        </w:rPr>
        <w:t>Infra</w:t>
      </w:r>
      <w:r>
        <w:t xml:space="preserve"> Part III.</w:t>
      </w:r>
    </w:p>
  </w:footnote>
  <w:footnote w:id="33">
    <w:p w14:paraId="67056B0F" w14:textId="77777777" w:rsidR="00C82998" w:rsidRDefault="00C82998" w:rsidP="00C82998">
      <w:pPr>
        <w:pStyle w:val="FootnoteText"/>
        <w:jc w:val="both"/>
      </w:pPr>
      <w:r w:rsidRPr="001F71E0">
        <w:rPr>
          <w:rStyle w:val="FootnoteReference"/>
        </w:rPr>
        <w:footnoteRef/>
      </w:r>
      <w:r>
        <w:t xml:space="preserve"> </w:t>
      </w:r>
      <w:r w:rsidRPr="008F41D2">
        <w:rPr>
          <w:i/>
          <w:iCs/>
        </w:rPr>
        <w:t>Infra</w:t>
      </w:r>
      <w:r>
        <w:t xml:space="preserve"> Part III.</w:t>
      </w:r>
    </w:p>
  </w:footnote>
  <w:footnote w:id="34">
    <w:p w14:paraId="55E90493" w14:textId="77777777" w:rsidR="00C82998" w:rsidRDefault="00C82998" w:rsidP="00C82998">
      <w:pPr>
        <w:pStyle w:val="FootnoteText"/>
        <w:jc w:val="both"/>
      </w:pPr>
      <w:r w:rsidRPr="001F71E0">
        <w:rPr>
          <w:rStyle w:val="FootnoteReference"/>
        </w:rPr>
        <w:footnoteRef/>
      </w:r>
      <w:r>
        <w:t xml:space="preserve"> </w:t>
      </w:r>
      <w:r w:rsidRPr="00FC22D7">
        <w:rPr>
          <w:i/>
          <w:iCs/>
        </w:rPr>
        <w:t xml:space="preserve">See generally </w:t>
      </w:r>
      <w:r>
        <w:fldChar w:fldCharType="begin"/>
      </w:r>
      <w:r>
        <w:instrText xml:space="preserve"> ADDIN ZOTERO_ITEM CSL_CITATION {"citationID":"66ky4uov","properties":{"formattedCitation":"{\\scaps Stephen Cretney}, {\\scaps Family Law in the Twentieth Century: A History} (2005); {\\scaps Mary Ann Mason}, {\\scaps From Father\\uc0\\u8217{}s Property to Children\\uc0\\u8217{}s Rights} (1994).","plainCitation":"Stephen Cretney, Family Law in the Twentieth Century: A History (2005); Mary Ann Mason, From Father’s Property to Children’s Rights (1994).","dontUpdate":true,"noteIndex":34},"citationItems":[{"id":4733,"uris":["http://zotero.org/users/14209839/items/SNTA6UJS"],"itemData":{"id":4733,"type":"book","abstract":"A full history of the development of the law relating to the family. The book draws extensively on published and unpublished materials, shows the factors which have influenced change and seeks to put the law fully into its social and historical context. \n            ,  \n             A full history of the development of the law relating to the family. The book draws extensively on published and unpublished materials, shows the factors which have influenced change and seeks to put the law fully into its social and historical context.","event-place":"Oxford, New York","ISBN":"978-0-19-928091-9","number-of-pages":"976","publisher":"Oxford University Press","publisher-place":"Oxford, New York","source":"Oxford University Press","title":"Family Law in the Twentieth Century: A History","title-short":"Family Law in the Twentieth Century","author":[{"family":"Cretney","given":"Stephen"}],"issued":{"date-parts":[["2005",3,24]]},"citation-key":"cretneyFamilyLawTwentieth2005"}},{"id":4410,"uris":["http://zotero.org/users/local/Fg4jzsqf/items/UBSZTXNR","http://zotero.org/users/14209839/items/UBSZTXNR"],"itemData":{"id":4410,"type":"book","title":"From Father's Property to Children's Rights","author":[{"family":"Mason","given":"Mary Ann"}],"issued":{"date-parts":[["1994"]]},"citation-key":"masonFatherPropertyChildren1994"}}],"schema":"https://github.com/citation-style-language/schema/raw/master/csl-citation.json"} </w:instrText>
      </w:r>
      <w:r>
        <w:fldChar w:fldCharType="separate"/>
      </w:r>
      <w:r w:rsidRPr="002C6690">
        <w:rPr>
          <w:rFonts w:cs="Times New Roman"/>
          <w:smallCaps/>
          <w:lang w:val="en-GB"/>
        </w:rPr>
        <w:t>Stephen Cretney</w:t>
      </w:r>
      <w:r w:rsidRPr="002C6690">
        <w:rPr>
          <w:rFonts w:cs="Times New Roman"/>
          <w:lang w:val="en-GB"/>
        </w:rPr>
        <w:t xml:space="preserve">, </w:t>
      </w:r>
      <w:r w:rsidRPr="002C6690">
        <w:rPr>
          <w:rFonts w:cs="Times New Roman"/>
          <w:smallCaps/>
          <w:lang w:val="en-GB"/>
        </w:rPr>
        <w:t>Family Law in the Twentieth Century: A History</w:t>
      </w:r>
      <w:r w:rsidRPr="002C6690">
        <w:rPr>
          <w:rFonts w:cs="Times New Roman"/>
          <w:lang w:val="en-GB"/>
        </w:rPr>
        <w:t xml:space="preserve"> (2005)</w:t>
      </w:r>
      <w:r>
        <w:rPr>
          <w:rFonts w:cs="Times New Roman"/>
          <w:lang w:val="en-GB"/>
        </w:rPr>
        <w:t xml:space="preserve"> &amp;</w:t>
      </w:r>
      <w:r w:rsidRPr="002C6690">
        <w:rPr>
          <w:rFonts w:cs="Times New Roman"/>
          <w:lang w:val="en-GB"/>
        </w:rPr>
        <w:t xml:space="preserve"> </w:t>
      </w:r>
      <w:r w:rsidRPr="002C6690">
        <w:rPr>
          <w:rFonts w:cs="Times New Roman"/>
          <w:smallCaps/>
          <w:lang w:val="en-GB"/>
        </w:rPr>
        <w:t>Mary Ann Mason</w:t>
      </w:r>
      <w:r w:rsidRPr="002C6690">
        <w:rPr>
          <w:rFonts w:cs="Times New Roman"/>
          <w:lang w:val="en-GB"/>
        </w:rPr>
        <w:t xml:space="preserve">, </w:t>
      </w:r>
      <w:r w:rsidRPr="002C6690">
        <w:rPr>
          <w:rFonts w:cs="Times New Roman"/>
          <w:smallCaps/>
          <w:lang w:val="en-GB"/>
        </w:rPr>
        <w:t>From Father’s Property to Children’s Rights</w:t>
      </w:r>
      <w:r w:rsidRPr="002C6690">
        <w:rPr>
          <w:rFonts w:cs="Times New Roman"/>
          <w:lang w:val="en-GB"/>
        </w:rPr>
        <w:t xml:space="preserve"> (1994).</w:t>
      </w:r>
      <w:r>
        <w:fldChar w:fldCharType="end"/>
      </w:r>
    </w:p>
  </w:footnote>
  <w:footnote w:id="35">
    <w:p w14:paraId="67616B58" w14:textId="77777777" w:rsidR="00C82998" w:rsidRDefault="00C82998" w:rsidP="00C82998">
      <w:pPr>
        <w:pStyle w:val="FootnoteText"/>
        <w:jc w:val="both"/>
      </w:pPr>
      <w:r w:rsidRPr="001F71E0">
        <w:rPr>
          <w:rStyle w:val="FootnoteReference"/>
        </w:rPr>
        <w:footnoteRef/>
      </w:r>
      <w:r>
        <w:t xml:space="preserve"> </w:t>
      </w:r>
      <w:r w:rsidRPr="000556CC">
        <w:rPr>
          <w:i/>
          <w:iCs/>
        </w:rPr>
        <w:t>See generally</w:t>
      </w:r>
      <w:r>
        <w:t xml:space="preserve"> </w:t>
      </w:r>
      <w:r>
        <w:fldChar w:fldCharType="begin"/>
      </w:r>
      <w:r>
        <w:instrText xml:space="preserve"> ADDIN ZOTERO_ITEM CSL_CITATION {"citationID":"mhxREVmq","properties":{"formattedCitation":"Barbara Bennett Woodhouse, {\\i{}Who Owns the Child: Meyer and Pierce and the Child as Property}, 33 {\\scaps Wm. &amp; Mary L. Rev.} 995 (1991); Barbara Bennett Woodhouse, {\\i{}Hatching the Egg: A Child-Centered Perspective on Parent\\uc0\\u8217{}s Rights}, 14 {\\scaps Cardozo L. Rev.} 1747 (1992); James G. Dwyer, {\\i{}Parents\\uc0\\u8217{} Religion and Children\\uc0\\u8217{}s Welfare: Debunking the Doctrine of Parents\\uc0\\u8217{} Rights}, 82 {\\scaps Cal L. Rev.} 1371 (1994); Samantha Godwin, {\\i{}Against Parental Rights}, 47 {\\scaps Colum. Hum. Rts. L. Rev.} 1 (2015); Anne C. Dailey &amp; Laura A. Rosenbury, {\\i{}The New Law of the Child}, 127 {\\scaps Yale L. J.} 1448 (2017); Anne C. Dailey &amp; Laura A. Rosenbury, {\\i{}The New Parental Rights}, 71 {\\scaps Duke L.J.} 75 (2021).","plainCitation":"Barbara Bennett Woodhouse, Who Owns the Child: Meyer and Pierce and the Child as Property, 33 Wm. &amp; Mary L. Rev. 995 (1991); Barbara Bennett Woodhouse, Hatching the Egg: A Child-Centered Perspective on Parent’s Rights, 14 Cardozo L. Rev. 1747 (1992); James G. Dwyer, Parents’ Religion and Children’s Welfare: Debunking the Doctrine of Parents’ Rights, 82 Cal L. Rev. 1371 (1994); Samantha Godwin, Against Parental Rights, 47 Colum. Hum. Rts. L. Rev. 1 (2015); Anne C. Dailey &amp; Laura A. Rosenbury, The New Law of the Child, 127 Yale L. J. 1448 (2017); Anne C. Dailey &amp; Laura A. Rosenbury, The New Parental Rights, 71 Duke L.J. 75 (2021).","dontUpdate":true,"noteIndex":35},"citationItems":[{"id":4735,"uris":["http://zotero.org/users/14209839/items/DXIVCG6Z"],"itemData":{"id":4735,"type":"article-journal","container-title":"William and Mary Law Review","issue":"4","journalAbbreviation":"Wm. &amp; Mary L. Rev.","language":"eng","page":"995-1122","source":"HeinOnline","title":"Who Owns the Child: Meyer and Pierce and the Child as Property","title-short":"Who Owns the Child","volume":"33","author":[{"family":"Woodhouse","given":"Barbara Bennett"}],"issued":{"date-parts":[["1991"]],"season":"1992"},"citation-key":"woodhouseWhoOwnsChild1991"},"label":"page"},{"id":3054,"uris":["http://zotero.org/users/14209839/items/HHVY5K7T"],"itemData":{"id":3054,"type":"article-journal","container-title":"Cardozo Law Review","issue":"6","journalAbbreviation":"Cardozo L. Rev.","language":"eng","page":"1747-1866","source":"HeinOnline","title":"Hatching the Egg: A Child-Centered Perspective on Parent's Rights","title-short":"Hatching the Egg","volume":"14","author":[{"family":"Woodhouse","given":"Barbara Bennett"}],"issued":{"date-parts":[["1992"]],"season":"1993"},"citation-key":"woodhouseHatchingEggChildCentered1992"}},{"id":4750,"uris":["http://zotero.org/users/14209839/items/PNM99HIL"],"itemData":{"id":4750,"type":"article-journal","container-title":"California Law Review","issue":"6","journalAbbreviation":"Cal L. Rev.","language":"eng","page":"1371-1448","source":"HeinOnline","title":"Parents' Religion and Children's Welfare: Debunking the Doctrine of Parents' Rights","title-short":"Parents' Religion and Children's Welfare","volume":"82","author":[{"family":"Dwyer","given":"James G."}],"issued":{"date-parts":[["1994"]]},"citation-key":"dwyerParentsReligionChildren1994"}},{"id":3688,"uris":["http://zotero.org/users/14209839/items/YQ8IENMX"],"itemData":{"id":3688,"type":"article-journal","container-title":"Columbia Human Rights Law Review","issue":"1","journalAbbreviation":"Colum. Hum. Rts. L. Rev.","language":"eng","page":"1-83","source":"HeinOnline","title":"Against Parental Rights","volume":"47","author":[{"family":"Godwin","given":"Samantha"}],"issued":{"date-parts":[["2015"]],"season":"2016"},"citation-key":"godwinParentalRights2015"}},{"id":3284,"uris":["http://zotero.org/users/14209839/items/LY9799K7"],"itemData":{"id":3284,"type":"article-journal","container-title":"Yale Law Journal","issue":"6","journalAbbreviation":"Yale L. J.","language":"eng","page":"1448-1537","source":"HeinOnline","title":"The New Law of the Child","volume":"127","author":[{"family":"Dailey","given":"Anne C."},{"family":"Rosenbury","given":"Laura A."}],"issued":{"date-parts":[["2017"]],"season":"2018"},"citation-key":"daileyNewLawChild2017"}},{"id":3286,"uris":["http://zotero.org/users/14209839/items/5B43CEDV"],"itemData":{"id":3286,"type":"article-journal","container-title":"Duke Law Journal","issue":"1","journalAbbreviation":"Duke L.J.","language":"eng","page":"75-166","source":"HeinOnline","title":"The New Parental Rights","volume":"71","author":[{"family":"Dailey","given":"Anne C."},{"family":"Rosenbury","given":"Laura A."}],"issued":{"date-parts":[["2021"]],"season":"2022"},"citation-key":"daileyNewParentalRights2021a"}}],"schema":"https://github.com/citation-style-language/schema/raw/master/csl-citation.json"} </w:instrText>
      </w:r>
      <w:r>
        <w:fldChar w:fldCharType="separate"/>
      </w:r>
      <w:r w:rsidRPr="00682010">
        <w:rPr>
          <w:rFonts w:cs="Times New Roman"/>
          <w:lang w:val="en-GB"/>
        </w:rPr>
        <w:t xml:space="preserve">Barbara Bennett Woodhouse, </w:t>
      </w:r>
      <w:r w:rsidRPr="00682010">
        <w:rPr>
          <w:rFonts w:cs="Times New Roman"/>
          <w:i/>
          <w:iCs/>
          <w:lang w:val="en-GB"/>
        </w:rPr>
        <w:t>Who Owns the Child: Meyer and Pierce and the Child as Property</w:t>
      </w:r>
      <w:r w:rsidRPr="00682010">
        <w:rPr>
          <w:rFonts w:cs="Times New Roman"/>
          <w:lang w:val="en-GB"/>
        </w:rPr>
        <w:t xml:space="preserve">, 33 </w:t>
      </w:r>
      <w:r w:rsidRPr="00682010">
        <w:rPr>
          <w:rFonts w:cs="Times New Roman"/>
          <w:smallCaps/>
          <w:lang w:val="en-GB"/>
        </w:rPr>
        <w:t>Wm. &amp; Mary L. Rev.</w:t>
      </w:r>
      <w:r w:rsidRPr="00682010">
        <w:rPr>
          <w:rFonts w:cs="Times New Roman"/>
          <w:lang w:val="en-GB"/>
        </w:rPr>
        <w:t xml:space="preserve"> 995 (1991)</w:t>
      </w:r>
      <w:r>
        <w:rPr>
          <w:rFonts w:cs="Times New Roman"/>
          <w:lang w:val="en-GB"/>
        </w:rPr>
        <w:t xml:space="preserve"> [hereinafter, Woodhouse, Who Owns]</w:t>
      </w:r>
      <w:r w:rsidRPr="00682010">
        <w:rPr>
          <w:rFonts w:cs="Times New Roman"/>
          <w:lang w:val="en-GB"/>
        </w:rPr>
        <w:t xml:space="preserve">; Barbara Bennett Woodhouse, </w:t>
      </w:r>
      <w:r w:rsidRPr="00682010">
        <w:rPr>
          <w:rFonts w:cs="Times New Roman"/>
          <w:i/>
          <w:iCs/>
          <w:lang w:val="en-GB"/>
        </w:rPr>
        <w:t>Hatching the Egg: A Child-</w:t>
      </w:r>
      <w:proofErr w:type="spellStart"/>
      <w:r w:rsidRPr="00682010">
        <w:rPr>
          <w:rFonts w:cs="Times New Roman"/>
          <w:i/>
          <w:iCs/>
          <w:lang w:val="en-GB"/>
        </w:rPr>
        <w:t>Centered</w:t>
      </w:r>
      <w:proofErr w:type="spellEnd"/>
      <w:r w:rsidRPr="00682010">
        <w:rPr>
          <w:rFonts w:cs="Times New Roman"/>
          <w:i/>
          <w:iCs/>
          <w:lang w:val="en-GB"/>
        </w:rPr>
        <w:t xml:space="preserve"> Perspective on </w:t>
      </w:r>
      <w:r>
        <w:rPr>
          <w:rFonts w:cs="Times New Roman"/>
          <w:i/>
          <w:iCs/>
          <w:lang w:val="en-GB"/>
        </w:rPr>
        <w:t>Parents’</w:t>
      </w:r>
      <w:r w:rsidRPr="00682010">
        <w:rPr>
          <w:rFonts w:cs="Times New Roman"/>
          <w:i/>
          <w:iCs/>
          <w:lang w:val="en-GB"/>
        </w:rPr>
        <w:t xml:space="preserve"> Rights</w:t>
      </w:r>
      <w:r w:rsidRPr="00682010">
        <w:rPr>
          <w:rFonts w:cs="Times New Roman"/>
          <w:lang w:val="en-GB"/>
        </w:rPr>
        <w:t xml:space="preserve">, 14 </w:t>
      </w:r>
      <w:r w:rsidRPr="00682010">
        <w:rPr>
          <w:rFonts w:cs="Times New Roman"/>
          <w:smallCaps/>
          <w:lang w:val="en-GB"/>
        </w:rPr>
        <w:t>Cardozo L. Rev.</w:t>
      </w:r>
      <w:r w:rsidRPr="00682010">
        <w:rPr>
          <w:rFonts w:cs="Times New Roman"/>
          <w:lang w:val="en-GB"/>
        </w:rPr>
        <w:t xml:space="preserve"> 1747 (1992); James G. Dwyer, </w:t>
      </w:r>
      <w:r>
        <w:rPr>
          <w:rFonts w:cs="Times New Roman"/>
          <w:i/>
          <w:iCs/>
          <w:lang w:val="en-GB"/>
        </w:rPr>
        <w:t>Parents’</w:t>
      </w:r>
      <w:r w:rsidRPr="00682010">
        <w:rPr>
          <w:rFonts w:cs="Times New Roman"/>
          <w:i/>
          <w:iCs/>
          <w:lang w:val="en-GB"/>
        </w:rPr>
        <w:t xml:space="preserve"> Religion and Children’s Welfare: Debunking the Doctrine of </w:t>
      </w:r>
      <w:r>
        <w:rPr>
          <w:rFonts w:cs="Times New Roman"/>
          <w:i/>
          <w:iCs/>
          <w:lang w:val="en-GB"/>
        </w:rPr>
        <w:t>Parents’</w:t>
      </w:r>
      <w:r w:rsidRPr="00682010">
        <w:rPr>
          <w:rFonts w:cs="Times New Roman"/>
          <w:i/>
          <w:iCs/>
          <w:lang w:val="en-GB"/>
        </w:rPr>
        <w:t xml:space="preserve"> Rights</w:t>
      </w:r>
      <w:r w:rsidRPr="00682010">
        <w:rPr>
          <w:rFonts w:cs="Times New Roman"/>
          <w:lang w:val="en-GB"/>
        </w:rPr>
        <w:t xml:space="preserve">, 82 </w:t>
      </w:r>
      <w:r w:rsidRPr="00682010">
        <w:rPr>
          <w:rFonts w:cs="Times New Roman"/>
          <w:smallCaps/>
          <w:lang w:val="en-GB"/>
        </w:rPr>
        <w:t>Cal L. Rev.</w:t>
      </w:r>
      <w:r w:rsidRPr="00682010">
        <w:rPr>
          <w:rFonts w:cs="Times New Roman"/>
          <w:lang w:val="en-GB"/>
        </w:rPr>
        <w:t xml:space="preserve"> 1371 (1994); Samantha Godwin, </w:t>
      </w:r>
      <w:r w:rsidRPr="00682010">
        <w:rPr>
          <w:rFonts w:cs="Times New Roman"/>
          <w:i/>
          <w:iCs/>
          <w:lang w:val="en-GB"/>
        </w:rPr>
        <w:t>Against Parental Rights</w:t>
      </w:r>
      <w:r w:rsidRPr="00682010">
        <w:rPr>
          <w:rFonts w:cs="Times New Roman"/>
          <w:lang w:val="en-GB"/>
        </w:rPr>
        <w:t xml:space="preserve">, 47 </w:t>
      </w:r>
      <w:r w:rsidRPr="00682010">
        <w:rPr>
          <w:rFonts w:cs="Times New Roman"/>
          <w:smallCaps/>
          <w:lang w:val="en-GB"/>
        </w:rPr>
        <w:t xml:space="preserve">Colum. Hum. </w:t>
      </w:r>
      <w:proofErr w:type="spellStart"/>
      <w:r w:rsidRPr="00682010">
        <w:rPr>
          <w:rFonts w:cs="Times New Roman"/>
          <w:smallCaps/>
          <w:lang w:val="en-GB"/>
        </w:rPr>
        <w:t>Rts</w:t>
      </w:r>
      <w:proofErr w:type="spellEnd"/>
      <w:r w:rsidRPr="00682010">
        <w:rPr>
          <w:rFonts w:cs="Times New Roman"/>
          <w:smallCaps/>
          <w:lang w:val="en-GB"/>
        </w:rPr>
        <w:t>. L. Rev.</w:t>
      </w:r>
      <w:r w:rsidRPr="00682010">
        <w:rPr>
          <w:rFonts w:cs="Times New Roman"/>
          <w:lang w:val="en-GB"/>
        </w:rPr>
        <w:t xml:space="preserve"> 1 (2015)</w:t>
      </w:r>
      <w:r>
        <w:rPr>
          <w:rFonts w:cs="Times New Roman"/>
          <w:lang w:val="en-GB"/>
        </w:rPr>
        <w:t>.</w:t>
      </w:r>
      <w:r w:rsidRPr="00682010">
        <w:rPr>
          <w:rFonts w:cs="Times New Roman"/>
          <w:lang w:val="en-GB"/>
        </w:rPr>
        <w:t xml:space="preserve"> </w:t>
      </w:r>
      <w:r>
        <w:fldChar w:fldCharType="end"/>
      </w:r>
      <w:r>
        <w:t xml:space="preserve"> The United States is amongst the only countries in the world that has not ratified the United Nations Convention on the Rights of the Child, for debates around ratification see </w:t>
      </w:r>
      <w:r>
        <w:fldChar w:fldCharType="begin"/>
      </w:r>
      <w:r>
        <w:instrText xml:space="preserve"> ADDIN ZOTERO_ITEM CSL_CITATION {"citationID":"R0o5ShDw","properties":{"formattedCitation":"Soo Jee Lee, {\\i{}A Child\\uc0\\u8217{}s Voice Vs. a Parent\\uc0\\u8217{}s Control: Resolving Tension Between the Convention on the Rights of the Child U.s. Law}, 117 {\\scaps Columbia Law Review} 687 (2017); Martha Minow, {\\i{}What Ever Happened to Children\\uc0\\u8217{}s Rights}, 80 {\\scaps Minn. L. Rev.} 267 (1995).","plainCitation":"Soo Jee Lee, A Child’s Voice Vs. a Parent’s Control: Resolving Tension Between the Convention on the Rights of the Child U.s. Law, 117 Columbia Law Review 687 (2017); Martha Minow, What Ever Happened to Children’s Rights, 80 Minn. L. Rev. 267 (1995).","dontUpdate":true,"noteIndex":35},"citationItems":[{"id":2552,"uris":["http://zotero.org/users/14209839/items/ML4JP8NP"],"itemData":{"id":2552,"type":"article-journal","abstract":"The United States is the single remaining United Nations (UN) member state that has not ratified the UN Convention on the Rights of the Child (CRC), the most important international human rights treaty governing children's rights. This Note focuses on a key objection to U.S. ratification of the CRC: the fear that its emphasis on children's rights threatens parents' rights under U.S. law. This Note uses Article 12 of the CRC, which recognizes the right of children to be heard in decisions involving their lives, as a proxy to examine how much of an actual threat the CRC poses to the constitutional right of parents to raise their children. In so doing, this Note compares Article 12 with three of the areas of U.S. law in which the rights of parents to control their children arguably most conflict with their children's right to be heard: family law proceedings, medical decisionmaking, and psychiatric commitment. The Note concludes that the conflict between parental rights and children's rights is ultimately reconcilable, and that in fact the CRC presents not a threat but an opportunity for fresh reexamination and reconciliation.","container-title":"Columbia Law Review","ISSN":"0010-1958","issue":"3","note":"publisher: Columbia Law Review Association, Inc.","page":"687-727","source":"JSTOR","title":"A Child's Voice Vs. a Parent's Control: Resolving Tension Between the Convention on the Rights of the Child U.s. Law","title-short":"A Child's Voice Vs. a Parent's Control","volume":"117","author":[{"family":"Lee","given":"Soo Jee"}],"issued":{"date-parts":[["2017"]]},"citation-key":"leeChildVoiceVs2017"}},{"id":3685,"uris":["http://zotero.org/users/14209839/items/E3B3WZVW"],"itemData":{"id":3685,"type":"article-journal","container-title":"Minnesota Law Review","issue":"2","journalAbbreviation":"Minn. L. Rev.","language":"eng","page":"267-298","source":"HeinOnline","title":"What Ever Happened to Children's Rights","volume":"80","author":[{"family":"Minow","given":"Martha"}],"issued":{"date-parts":[["1995"]],"season":"1996"},"citation-key":"minowWhatEverHappened1995"}}],"schema":"https://github.com/citation-style-language/schema/raw/master/csl-citation.json"} </w:instrText>
      </w:r>
      <w:r>
        <w:fldChar w:fldCharType="separate"/>
      </w:r>
      <w:r w:rsidRPr="002D6689">
        <w:rPr>
          <w:rFonts w:cs="Times New Roman"/>
          <w:lang w:val="en-GB"/>
        </w:rPr>
        <w:t xml:space="preserve">Soo Jee Lee, </w:t>
      </w:r>
      <w:r w:rsidRPr="002D6689">
        <w:rPr>
          <w:rFonts w:cs="Times New Roman"/>
          <w:i/>
          <w:iCs/>
          <w:lang w:val="en-GB"/>
        </w:rPr>
        <w:t xml:space="preserve">A Child’s Voice Vs. a </w:t>
      </w:r>
      <w:r>
        <w:rPr>
          <w:rFonts w:cs="Times New Roman"/>
          <w:i/>
          <w:iCs/>
          <w:lang w:val="en-GB"/>
        </w:rPr>
        <w:t>Parents’</w:t>
      </w:r>
      <w:r w:rsidRPr="002D6689">
        <w:rPr>
          <w:rFonts w:cs="Times New Roman"/>
          <w:i/>
          <w:iCs/>
          <w:lang w:val="en-GB"/>
        </w:rPr>
        <w:t xml:space="preserve"> Control: Resolving Tension Between the Convention on the Rights of the Child </w:t>
      </w:r>
      <w:proofErr w:type="spellStart"/>
      <w:r w:rsidRPr="002D6689">
        <w:rPr>
          <w:rFonts w:cs="Times New Roman"/>
          <w:i/>
          <w:iCs/>
          <w:lang w:val="en-GB"/>
        </w:rPr>
        <w:t>U.s.</w:t>
      </w:r>
      <w:proofErr w:type="spellEnd"/>
      <w:r w:rsidRPr="002D6689">
        <w:rPr>
          <w:rFonts w:cs="Times New Roman"/>
          <w:i/>
          <w:iCs/>
          <w:lang w:val="en-GB"/>
        </w:rPr>
        <w:t xml:space="preserve"> Law</w:t>
      </w:r>
      <w:r w:rsidRPr="002D6689">
        <w:rPr>
          <w:rFonts w:cs="Times New Roman"/>
          <w:lang w:val="en-GB"/>
        </w:rPr>
        <w:t xml:space="preserve">, 117 </w:t>
      </w:r>
      <w:r w:rsidRPr="002D6689">
        <w:rPr>
          <w:rFonts w:cs="Times New Roman"/>
          <w:smallCaps/>
          <w:lang w:val="en-GB"/>
        </w:rPr>
        <w:t>Co</w:t>
      </w:r>
      <w:r>
        <w:rPr>
          <w:rFonts w:cs="Times New Roman"/>
          <w:smallCaps/>
          <w:lang w:val="en-GB"/>
        </w:rPr>
        <w:t>lum.</w:t>
      </w:r>
      <w:r w:rsidRPr="002D6689">
        <w:rPr>
          <w:rFonts w:cs="Times New Roman"/>
          <w:smallCaps/>
          <w:lang w:val="en-GB"/>
        </w:rPr>
        <w:t xml:space="preserve"> L</w:t>
      </w:r>
      <w:r>
        <w:rPr>
          <w:rFonts w:cs="Times New Roman"/>
          <w:smallCaps/>
          <w:lang w:val="en-GB"/>
        </w:rPr>
        <w:t>.</w:t>
      </w:r>
      <w:r w:rsidRPr="002D6689">
        <w:rPr>
          <w:rFonts w:cs="Times New Roman"/>
          <w:smallCaps/>
          <w:lang w:val="en-GB"/>
        </w:rPr>
        <w:t xml:space="preserve"> Rev</w:t>
      </w:r>
      <w:r>
        <w:rPr>
          <w:rFonts w:cs="Times New Roman"/>
          <w:smallCaps/>
          <w:lang w:val="en-GB"/>
        </w:rPr>
        <w:t>.</w:t>
      </w:r>
      <w:r w:rsidRPr="002D6689">
        <w:rPr>
          <w:rFonts w:cs="Times New Roman"/>
          <w:lang w:val="en-GB"/>
        </w:rPr>
        <w:t xml:space="preserve"> 687 (2017);</w:t>
      </w:r>
      <w:r>
        <w:rPr>
          <w:rFonts w:cs="Times New Roman"/>
          <w:lang w:val="en-GB"/>
        </w:rPr>
        <w:t xml:space="preserve"> for a historical perspective on debates around children's rights see</w:t>
      </w:r>
      <w:r w:rsidRPr="002D6689">
        <w:rPr>
          <w:rFonts w:cs="Times New Roman"/>
          <w:lang w:val="en-GB"/>
        </w:rPr>
        <w:t xml:space="preserve"> Martha Minow, </w:t>
      </w:r>
      <w:r w:rsidRPr="002D6689">
        <w:rPr>
          <w:rFonts w:cs="Times New Roman"/>
          <w:i/>
          <w:iCs/>
          <w:lang w:val="en-GB"/>
        </w:rPr>
        <w:t>What Ever Happened to Children’s Rights</w:t>
      </w:r>
      <w:r w:rsidRPr="002D6689">
        <w:rPr>
          <w:rFonts w:cs="Times New Roman"/>
          <w:lang w:val="en-GB"/>
        </w:rPr>
        <w:t xml:space="preserve">, 80 </w:t>
      </w:r>
      <w:r w:rsidRPr="002D6689">
        <w:rPr>
          <w:rFonts w:cs="Times New Roman"/>
          <w:smallCaps/>
          <w:lang w:val="en-GB"/>
        </w:rPr>
        <w:t>Minn. L. Rev.</w:t>
      </w:r>
      <w:r w:rsidRPr="002D6689">
        <w:rPr>
          <w:rFonts w:cs="Times New Roman"/>
          <w:lang w:val="en-GB"/>
        </w:rPr>
        <w:t xml:space="preserve"> 267 (1995).</w:t>
      </w:r>
      <w:r>
        <w:fldChar w:fldCharType="end"/>
      </w:r>
    </w:p>
  </w:footnote>
  <w:footnote w:id="36">
    <w:p w14:paraId="1F5FF70C" w14:textId="77777777" w:rsidR="00C82998" w:rsidRDefault="00C82998" w:rsidP="00C82998">
      <w:pPr>
        <w:pStyle w:val="FootnoteText"/>
        <w:jc w:val="both"/>
      </w:pPr>
      <w:r w:rsidRPr="001F71E0">
        <w:rPr>
          <w:rStyle w:val="FootnoteReference"/>
        </w:rPr>
        <w:footnoteRef/>
      </w:r>
      <w:r>
        <w:t xml:space="preserve"> </w:t>
      </w:r>
      <w:r w:rsidRPr="00827537">
        <w:rPr>
          <w:i/>
          <w:iCs/>
        </w:rPr>
        <w:t>See generally</w:t>
      </w:r>
      <w:r>
        <w:t xml:space="preserve"> </w:t>
      </w:r>
      <w:r w:rsidRPr="00AD1F7F">
        <w:rPr>
          <w:rFonts w:cs="Times New Roman"/>
          <w:lang w:val="en-GB"/>
        </w:rPr>
        <w:t>The Law Commission (Law Com. No. 172) Family Law</w:t>
      </w:r>
      <w:r>
        <w:rPr>
          <w:rFonts w:cs="Times New Roman"/>
          <w:lang w:val="en-GB"/>
        </w:rPr>
        <w:t>:</w:t>
      </w:r>
      <w:r w:rsidRPr="00AD1F7F">
        <w:t xml:space="preserve"> Review of Child Law – Guardianship and Custody (1988) [hereinafter, Law Commission Report]; The Law Commission (Working Paper No. 91) Family Law Review of Child Law: Guardianship (1985) [hereinafter, Law Commission Working Paper].</w:t>
      </w:r>
    </w:p>
  </w:footnote>
  <w:footnote w:id="37">
    <w:p w14:paraId="3F95464D" w14:textId="77777777" w:rsidR="00C82998" w:rsidRPr="009D0072" w:rsidRDefault="00C82998" w:rsidP="00C82998">
      <w:pPr>
        <w:pStyle w:val="FootnoteText"/>
        <w:jc w:val="both"/>
      </w:pPr>
      <w:r w:rsidRPr="001F71E0">
        <w:rPr>
          <w:rStyle w:val="FootnoteReference"/>
        </w:rPr>
        <w:footnoteRef/>
      </w:r>
      <w:r>
        <w:t xml:space="preserve"> </w:t>
      </w:r>
      <w:r w:rsidRPr="009D0072">
        <w:rPr>
          <w:i/>
          <w:iCs/>
        </w:rPr>
        <w:t xml:space="preserve">Infra </w:t>
      </w:r>
      <w:r>
        <w:t xml:space="preserve">Part II. </w:t>
      </w:r>
    </w:p>
  </w:footnote>
  <w:footnote w:id="38">
    <w:p w14:paraId="5CB6C1A0" w14:textId="77777777" w:rsidR="00C82998" w:rsidRDefault="00C82998" w:rsidP="00C82998">
      <w:pPr>
        <w:pStyle w:val="FootnoteText"/>
        <w:jc w:val="both"/>
      </w:pPr>
      <w:r w:rsidRPr="001F71E0">
        <w:rPr>
          <w:rStyle w:val="FootnoteReference"/>
        </w:rPr>
        <w:footnoteRef/>
      </w:r>
      <w:r>
        <w:t xml:space="preserve"> </w:t>
      </w:r>
      <w:r w:rsidRPr="00587513">
        <w:rPr>
          <w:i/>
          <w:iCs/>
        </w:rPr>
        <w:t>Infra</w:t>
      </w:r>
      <w:r>
        <w:t xml:space="preserve"> Part IV. </w:t>
      </w:r>
    </w:p>
  </w:footnote>
  <w:footnote w:id="39">
    <w:p w14:paraId="6A2F062B" w14:textId="77777777" w:rsidR="00C82998" w:rsidRDefault="00C82998" w:rsidP="00C82998">
      <w:pPr>
        <w:pStyle w:val="FootnoteText"/>
        <w:jc w:val="both"/>
      </w:pPr>
      <w:r w:rsidRPr="001F71E0">
        <w:rPr>
          <w:rStyle w:val="FootnoteReference"/>
        </w:rPr>
        <w:footnoteRef/>
      </w:r>
      <w:r>
        <w:t xml:space="preserve"> </w:t>
      </w:r>
      <w:r w:rsidRPr="00792251">
        <w:rPr>
          <w:i/>
          <w:iCs/>
        </w:rPr>
        <w:t>See, e.g.,</w:t>
      </w:r>
      <w:r>
        <w:rPr>
          <w:i/>
          <w:iCs/>
        </w:rPr>
        <w:t xml:space="preserve"> </w:t>
      </w:r>
      <w:r>
        <w:fldChar w:fldCharType="begin"/>
      </w:r>
      <w:r>
        <w:instrText xml:space="preserve"> ADDIN ZOTERO_ITEM CSL_CITATION {"citationID":"sgxW84C5","properties":{"formattedCitation":"Courtney G. Joslin, {\\i{}Protecting Children: Marriage Gender, and Assisted Reproductive Technology}, 83 {\\scaps S. Cal. L. Rev.} 1177 (2009); Jessica Feinberg, {\\i{}Whither the Functional Parent: Revisiting Equitable Parenthood Doctrines in Light of Same-Sex Parents\\uc0\\u8217{} Increased Access to Obtaining Formal Legal Parent Status}, 83 {\\scaps Brook. L. Rev.} 55 (2017).","plainCitation":"Courtney G. Joslin, Protecting Children: Marriage Gender, and Assisted Reproductive Technology, 83 S. Cal. L. Rev. 1177 (2009); Jessica Feinberg, Whither the Functional Parent: Revisiting Equitable Parenthood Doctrines in Light of Same-Sex Parents’ Increased Access to Obtaining Formal Legal Parent Status, 83 Brook. L. Rev. 55 (2017).","noteIndex":39},"citationItems":[{"id":1235,"uris":["http://zotero.org/users/14209839/items/XQ3D53HL"],"itemData":{"id":1235,"type":"article-journal","container-title":"Southern California Law Review","issue":"6","journalAbbreviation":"S. Cal. L. Rev.","language":"eng","page":"1177-1230","source":"HeinOnline","title":"Protecting Children: Marriage Gender, and Assisted Reproductive Technology","title-short":"Protecting Children","volume":"83","author":[{"family":"Joslin","given":"Courtney G."}],"issued":{"date-parts":[["2009"]],"season":"2010"},"citation-key":"joslinProtectingChildrenMarriage2009"}},{"id":3217,"uris":["http://zotero.org/users/local/Fg4jzsqf/items/W3WW8KSM","http://zotero.org/users/14209839/items/W3WW8KSM"],"itemData":{"id":3217,"type":"article-journal","container-title":"Brooklyn Law Review","issue":"1","journalAbbreviation":"Brook. L. Rev.","language":"eng","page":"55-110","source":"HeinOnline","title":"Whither the Functional Parent: Revisiting Equitable Parenthood Doctrines in Light of Same-Sex Parents' Increased Access to Obtaining Formal Legal Parent Status","title-short":"Whither the Functional Parent","volume":"83","author":[{"family":"Feinberg","given":"Jessica"}],"issued":{"date-parts":[["2017"]],"season":"2018"},"citation-key":"feinbergWhitherFunctionalParent2017a"}}],"schema":"https://github.com/citation-style-language/schema/raw/master/csl-citation.json"} </w:instrText>
      </w:r>
      <w:r>
        <w:fldChar w:fldCharType="separate"/>
      </w:r>
      <w:r w:rsidRPr="00351AC4">
        <w:rPr>
          <w:rFonts w:cs="Times New Roman"/>
          <w:lang w:val="en-GB"/>
        </w:rPr>
        <w:t xml:space="preserve">Courtney G. Joslin, </w:t>
      </w:r>
      <w:r w:rsidRPr="00351AC4">
        <w:rPr>
          <w:rFonts w:cs="Times New Roman"/>
          <w:i/>
          <w:iCs/>
          <w:lang w:val="en-GB"/>
        </w:rPr>
        <w:t>Protecting Children: Marriage Gender, and Assisted Reproductive Technology</w:t>
      </w:r>
      <w:r w:rsidRPr="00351AC4">
        <w:rPr>
          <w:rFonts w:cs="Times New Roman"/>
          <w:lang w:val="en-GB"/>
        </w:rPr>
        <w:t xml:space="preserve">, 83 </w:t>
      </w:r>
      <w:r w:rsidRPr="00351AC4">
        <w:rPr>
          <w:rFonts w:cs="Times New Roman"/>
          <w:smallCaps/>
          <w:lang w:val="en-GB"/>
        </w:rPr>
        <w:t>S. Cal. L. Rev.</w:t>
      </w:r>
      <w:r w:rsidRPr="00351AC4">
        <w:rPr>
          <w:rFonts w:cs="Times New Roman"/>
          <w:lang w:val="en-GB"/>
        </w:rPr>
        <w:t xml:space="preserve"> 1177 (2009); Jessica Feinberg, </w:t>
      </w:r>
      <w:r w:rsidRPr="00351AC4">
        <w:rPr>
          <w:rFonts w:cs="Times New Roman"/>
          <w:i/>
          <w:iCs/>
          <w:lang w:val="en-GB"/>
        </w:rPr>
        <w:t xml:space="preserve">Whither the Functional Parent: Revisiting Equitable Parenthood Doctrines in Light of Same-Sex </w:t>
      </w:r>
      <w:r>
        <w:rPr>
          <w:rFonts w:cs="Times New Roman"/>
          <w:i/>
          <w:iCs/>
          <w:lang w:val="en-GB"/>
        </w:rPr>
        <w:t>Parents’</w:t>
      </w:r>
      <w:r w:rsidRPr="00351AC4">
        <w:rPr>
          <w:rFonts w:cs="Times New Roman"/>
          <w:i/>
          <w:iCs/>
          <w:lang w:val="en-GB"/>
        </w:rPr>
        <w:t xml:space="preserve"> Increased Access to Obtaining Formal Legal Parent Status</w:t>
      </w:r>
      <w:r w:rsidRPr="00351AC4">
        <w:rPr>
          <w:rFonts w:cs="Times New Roman"/>
          <w:lang w:val="en-GB"/>
        </w:rPr>
        <w:t xml:space="preserve">, 83 </w:t>
      </w:r>
      <w:r w:rsidRPr="00351AC4">
        <w:rPr>
          <w:rFonts w:cs="Times New Roman"/>
          <w:smallCaps/>
          <w:lang w:val="en-GB"/>
        </w:rPr>
        <w:t>Brook. L. Rev.</w:t>
      </w:r>
      <w:r w:rsidRPr="00351AC4">
        <w:rPr>
          <w:rFonts w:cs="Times New Roman"/>
          <w:lang w:val="en-GB"/>
        </w:rPr>
        <w:t xml:space="preserve"> 55 (2017).</w:t>
      </w:r>
      <w:r>
        <w:fldChar w:fldCharType="end"/>
      </w:r>
      <w:r>
        <w:t xml:space="preserve"> </w:t>
      </w:r>
    </w:p>
  </w:footnote>
  <w:footnote w:id="40">
    <w:p w14:paraId="290C80CE" w14:textId="77777777" w:rsidR="00C82998" w:rsidRDefault="00C82998" w:rsidP="00C82998">
      <w:pPr>
        <w:pStyle w:val="FootnoteText"/>
        <w:jc w:val="both"/>
      </w:pPr>
      <w:r w:rsidRPr="001F71E0">
        <w:rPr>
          <w:rStyle w:val="FootnoteReference"/>
        </w:rPr>
        <w:footnoteRef/>
      </w:r>
      <w:r>
        <w:t xml:space="preserve"> </w:t>
      </w:r>
      <w:r w:rsidRPr="00986060">
        <w:rPr>
          <w:i/>
          <w:iCs/>
        </w:rPr>
        <w:t>Infra</w:t>
      </w:r>
      <w:r>
        <w:t xml:space="preserve"> Part IV. </w:t>
      </w:r>
    </w:p>
  </w:footnote>
  <w:footnote w:id="41">
    <w:p w14:paraId="5FB628DD" w14:textId="77777777" w:rsidR="00C82998" w:rsidRDefault="00C82998" w:rsidP="00C82998">
      <w:pPr>
        <w:pStyle w:val="FootnoteText"/>
        <w:jc w:val="both"/>
      </w:pPr>
      <w:r w:rsidRPr="001F71E0">
        <w:rPr>
          <w:rStyle w:val="FootnoteReference"/>
        </w:rPr>
        <w:footnoteRef/>
      </w:r>
      <w:r>
        <w:t xml:space="preserve"> </w:t>
      </w:r>
      <w:r w:rsidRPr="00986060">
        <w:rPr>
          <w:i/>
          <w:iCs/>
        </w:rPr>
        <w:t>Infra</w:t>
      </w:r>
      <w:r>
        <w:t xml:space="preserve"> Part IV.</w:t>
      </w:r>
    </w:p>
  </w:footnote>
  <w:footnote w:id="42">
    <w:p w14:paraId="6A4A91CE" w14:textId="77777777" w:rsidR="00C82998" w:rsidRDefault="00C82998" w:rsidP="00C82998">
      <w:pPr>
        <w:pStyle w:val="FootnoteText"/>
        <w:jc w:val="both"/>
      </w:pPr>
      <w:r w:rsidRPr="001F71E0">
        <w:rPr>
          <w:rStyle w:val="FootnoteReference"/>
        </w:rPr>
        <w:footnoteRef/>
      </w:r>
      <w:r>
        <w:t xml:space="preserve"> </w:t>
      </w:r>
      <w:r w:rsidRPr="00986060">
        <w:rPr>
          <w:i/>
          <w:iCs/>
        </w:rPr>
        <w:t>Infra</w:t>
      </w:r>
      <w:r>
        <w:t xml:space="preserve"> Part IV.</w:t>
      </w:r>
    </w:p>
  </w:footnote>
  <w:footnote w:id="43">
    <w:p w14:paraId="49C87EC7" w14:textId="77777777" w:rsidR="00C82998" w:rsidRDefault="00C82998" w:rsidP="00C82998">
      <w:pPr>
        <w:pStyle w:val="FootnoteText"/>
        <w:jc w:val="both"/>
      </w:pPr>
      <w:r w:rsidRPr="001F71E0">
        <w:rPr>
          <w:rStyle w:val="FootnoteReference"/>
        </w:rPr>
        <w:footnoteRef/>
      </w:r>
      <w:r>
        <w:t xml:space="preserve"> </w:t>
      </w:r>
      <w:r w:rsidRPr="001475E9">
        <w:rPr>
          <w:i/>
          <w:iCs/>
        </w:rPr>
        <w:t>Infra</w:t>
      </w:r>
      <w:r>
        <w:t xml:space="preserve"> Part V. </w:t>
      </w:r>
    </w:p>
  </w:footnote>
  <w:footnote w:id="44">
    <w:p w14:paraId="2BB46432" w14:textId="77777777" w:rsidR="00C82998" w:rsidRDefault="00C82998" w:rsidP="00C82998">
      <w:pPr>
        <w:pStyle w:val="FootnoteText"/>
        <w:jc w:val="both"/>
      </w:pPr>
      <w:r w:rsidRPr="001F71E0">
        <w:rPr>
          <w:rStyle w:val="FootnoteReference"/>
        </w:rPr>
        <w:footnoteRef/>
      </w:r>
      <w:r>
        <w:t xml:space="preserve"> </w:t>
      </w:r>
      <w:r w:rsidRPr="001475E9">
        <w:rPr>
          <w:i/>
          <w:iCs/>
        </w:rPr>
        <w:t>Infra</w:t>
      </w:r>
      <w:r>
        <w:t xml:space="preserve"> Parts I &amp; V. </w:t>
      </w:r>
    </w:p>
  </w:footnote>
  <w:footnote w:id="45">
    <w:p w14:paraId="4274AC14" w14:textId="77777777" w:rsidR="00C82998" w:rsidRDefault="00C82998" w:rsidP="00C82998">
      <w:pPr>
        <w:pStyle w:val="FootnoteText"/>
        <w:jc w:val="both"/>
      </w:pPr>
      <w:r w:rsidRPr="001F71E0">
        <w:rPr>
          <w:rStyle w:val="FootnoteReference"/>
        </w:rPr>
        <w:footnoteRef/>
      </w:r>
      <w:r>
        <w:t xml:space="preserve"> </w:t>
      </w:r>
      <w:r w:rsidRPr="001475E9">
        <w:rPr>
          <w:i/>
          <w:iCs/>
        </w:rPr>
        <w:t xml:space="preserve">Infra </w:t>
      </w:r>
      <w:r>
        <w:t xml:space="preserve">Part V. </w:t>
      </w:r>
    </w:p>
  </w:footnote>
  <w:footnote w:id="46">
    <w:p w14:paraId="10FA53E9" w14:textId="77777777" w:rsidR="00C82998" w:rsidRDefault="00C82998" w:rsidP="00C82998">
      <w:pPr>
        <w:pStyle w:val="FootnoteText"/>
        <w:jc w:val="both"/>
      </w:pPr>
      <w:r>
        <w:rPr>
          <w:rStyle w:val="FootnoteReference"/>
        </w:rPr>
        <w:footnoteRef/>
      </w:r>
      <w:r>
        <w:t xml:space="preserve"> </w:t>
      </w:r>
      <w:r w:rsidRPr="006E3D62">
        <w:rPr>
          <w:i/>
          <w:iCs/>
        </w:rPr>
        <w:t>Infra</w:t>
      </w:r>
      <w:r>
        <w:t xml:space="preserve"> Part VC. </w:t>
      </w:r>
    </w:p>
  </w:footnote>
  <w:footnote w:id="47">
    <w:p w14:paraId="6E71C08C" w14:textId="77777777" w:rsidR="00C82998" w:rsidRDefault="00C82998" w:rsidP="00C82998">
      <w:pPr>
        <w:pStyle w:val="FootnoteText"/>
        <w:jc w:val="both"/>
      </w:pPr>
      <w:r w:rsidRPr="001F71E0">
        <w:rPr>
          <w:rStyle w:val="FootnoteReference"/>
        </w:rPr>
        <w:footnoteRef/>
      </w:r>
      <w:r>
        <w:t xml:space="preserve"> </w:t>
      </w:r>
      <w:r w:rsidRPr="00F92796">
        <w:rPr>
          <w:i/>
          <w:iCs/>
        </w:rPr>
        <w:t>See generally</w:t>
      </w:r>
      <w:r>
        <w:t xml:space="preserve"> </w:t>
      </w:r>
      <w:r>
        <w:fldChar w:fldCharType="begin"/>
      </w:r>
      <w:r>
        <w:instrText xml:space="preserve"> ADDIN ZOTERO_ITEM CSL_CITATION {"citationID":"st7OeCsX","properties":{"formattedCitation":"Mark Tushnet, {\\i{}Essay on Rights}, 62 {\\scaps Tex. L. Rev.} 1363 (1983).","plainCitation":"Mark Tushnet, Essay on Rights, 62 Tex. L. Rev. 1363 (1983).","dontUpdate":true,"noteIndex":47},"citationItems":[{"id":4768,"uris":["http://zotero.org/users/14209839/items/FS4FTCR7"],"itemData":{"id":4768,"type":"article-journal","container-title":"Texas Law Review","issue":"8","journalAbbreviation":"Tex. L. Rev.","language":"eng","page":"1363-1404","source":"HeinOnline","title":"Essay on Rights","volume":"62","author":[{"family":"Tushnet","given":"Mark"}],"issued":{"date-parts":[["1983"]],"season":"1984"},"citation-key":"tushnetEssayRights1983"}}],"schema":"https://github.com/citation-style-language/schema/raw/master/csl-citation.json"} </w:instrText>
      </w:r>
      <w:r>
        <w:fldChar w:fldCharType="separate"/>
      </w:r>
      <w:r w:rsidRPr="006F66BE">
        <w:rPr>
          <w:rFonts w:cs="Times New Roman"/>
          <w:lang w:val="en-GB"/>
        </w:rPr>
        <w:t xml:space="preserve">Mark </w:t>
      </w:r>
      <w:proofErr w:type="spellStart"/>
      <w:r w:rsidRPr="006F66BE">
        <w:rPr>
          <w:rFonts w:cs="Times New Roman"/>
          <w:lang w:val="en-GB"/>
        </w:rPr>
        <w:t>Tushnet</w:t>
      </w:r>
      <w:proofErr w:type="spellEnd"/>
      <w:r w:rsidRPr="006F66BE">
        <w:rPr>
          <w:rFonts w:cs="Times New Roman"/>
          <w:lang w:val="en-GB"/>
        </w:rPr>
        <w:t xml:space="preserve">, </w:t>
      </w:r>
      <w:r w:rsidRPr="006F66BE">
        <w:rPr>
          <w:rFonts w:cs="Times New Roman"/>
          <w:i/>
          <w:iCs/>
          <w:lang w:val="en-GB"/>
        </w:rPr>
        <w:t>Essay on Rights</w:t>
      </w:r>
      <w:r w:rsidRPr="006F66BE">
        <w:rPr>
          <w:rFonts w:cs="Times New Roman"/>
          <w:lang w:val="en-GB"/>
        </w:rPr>
        <w:t xml:space="preserve">, 62 </w:t>
      </w:r>
      <w:r w:rsidRPr="006F66BE">
        <w:rPr>
          <w:rFonts w:cs="Times New Roman"/>
          <w:smallCaps/>
          <w:lang w:val="en-GB"/>
        </w:rPr>
        <w:t>Tex. L. Rev.</w:t>
      </w:r>
      <w:r w:rsidRPr="006F66BE">
        <w:rPr>
          <w:rFonts w:cs="Times New Roman"/>
          <w:lang w:val="en-GB"/>
        </w:rPr>
        <w:t xml:space="preserve"> 1363 (1983)</w:t>
      </w:r>
      <w:r>
        <w:rPr>
          <w:rFonts w:cs="Times New Roman"/>
          <w:lang w:val="en-GB"/>
        </w:rPr>
        <w:t xml:space="preserve">; </w:t>
      </w:r>
      <w:r>
        <w:fldChar w:fldCharType="end"/>
      </w:r>
      <w:r>
        <w:fldChar w:fldCharType="begin"/>
      </w:r>
      <w:r>
        <w:instrText xml:space="preserve"> ADDIN ZOTERO_ITEM CSL_CITATION {"citationID":"TqRLuAHF","properties":{"formattedCitation":"Mark Tushnet, {\\i{}The Critique of Rights Essay}, 47 {\\scaps S.M.U. L. Rev.} 23 (1993).","plainCitation":"Mark Tushnet, The Critique of Rights Essay, 47 S.M.U. L. Rev. 23 (1993).","dontUpdate":true,"noteIndex":47},"citationItems":[{"id":4766,"uris":["http://zotero.org/users/14209839/items/WVXPVXSV"],"itemData":{"id":4766,"type":"article-journal","container-title":"SMU Law Review","issue":"1","journalAbbreviation":"S.M.U. L. Rev.","language":"eng","page":"23-36","source":"HeinOnline","title":"The Critique of Rights Essay","volume":"47","author":[{"family":"Tushnet","given":"Mark"}],"issued":{"date-parts":[["1993"]],"season":"1994"},"citation-key":"tushnetCritiqueRightsEssay1993"}}],"schema":"https://github.com/citation-style-language/schema/raw/master/csl-citation.json"} </w:instrText>
      </w:r>
      <w:r>
        <w:fldChar w:fldCharType="separate"/>
      </w:r>
      <w:r w:rsidRPr="00E74F78">
        <w:rPr>
          <w:rFonts w:cs="Times New Roman"/>
          <w:lang w:val="en-GB"/>
        </w:rPr>
        <w:t xml:space="preserve">Mark </w:t>
      </w:r>
      <w:proofErr w:type="spellStart"/>
      <w:r w:rsidRPr="00E74F78">
        <w:rPr>
          <w:rFonts w:cs="Times New Roman"/>
          <w:lang w:val="en-GB"/>
        </w:rPr>
        <w:t>Tushnet</w:t>
      </w:r>
      <w:proofErr w:type="spellEnd"/>
      <w:r w:rsidRPr="00E74F78">
        <w:rPr>
          <w:rFonts w:cs="Times New Roman"/>
          <w:lang w:val="en-GB"/>
        </w:rPr>
        <w:t xml:space="preserve">, </w:t>
      </w:r>
      <w:r w:rsidRPr="00E74F78">
        <w:rPr>
          <w:rFonts w:cs="Times New Roman"/>
          <w:i/>
          <w:iCs/>
          <w:lang w:val="en-GB"/>
        </w:rPr>
        <w:t>The Critique of Rights</w:t>
      </w:r>
      <w:r w:rsidRPr="00E74F78">
        <w:rPr>
          <w:rFonts w:cs="Times New Roman"/>
          <w:lang w:val="en-GB"/>
        </w:rPr>
        <w:t xml:space="preserve">, 47 </w:t>
      </w:r>
      <w:r w:rsidRPr="00E74F78">
        <w:rPr>
          <w:rFonts w:cs="Times New Roman"/>
          <w:smallCaps/>
          <w:lang w:val="en-GB"/>
        </w:rPr>
        <w:t>S.M.U. L. Rev.</w:t>
      </w:r>
      <w:r w:rsidRPr="00E74F78">
        <w:rPr>
          <w:rFonts w:cs="Times New Roman"/>
          <w:lang w:val="en-GB"/>
        </w:rPr>
        <w:t xml:space="preserve"> 23 (1993).</w:t>
      </w:r>
      <w:r>
        <w:fldChar w:fldCharType="end"/>
      </w:r>
    </w:p>
  </w:footnote>
  <w:footnote w:id="48">
    <w:p w14:paraId="1CF4AFD3" w14:textId="77777777" w:rsidR="00C82998" w:rsidRDefault="00C82998" w:rsidP="00C82998">
      <w:pPr>
        <w:pStyle w:val="FootnoteText"/>
        <w:jc w:val="both"/>
      </w:pPr>
      <w:r w:rsidRPr="001F71E0">
        <w:rPr>
          <w:rStyle w:val="FootnoteReference"/>
        </w:rPr>
        <w:footnoteRef/>
      </w:r>
      <w:r>
        <w:t xml:space="preserve"> Many of these critiques were made by critical legal studies scholars in the 1980s, for a summary </w:t>
      </w:r>
      <w:r w:rsidRPr="00BA3EAA">
        <w:t>see</w:t>
      </w:r>
      <w:r>
        <w:t xml:space="preserve"> </w:t>
      </w:r>
      <w:r>
        <w:fldChar w:fldCharType="begin"/>
      </w:r>
      <w:r>
        <w:instrText xml:space="preserve"> ADDIN ZOTERO_ITEM CSL_CITATION {"citationID":"rmzWzctZ","properties":{"formattedCitation":"Robin L. West, {\\i{}Tragic Rights: The Rights Critique in the Age of Obama Constitutional Transformations: The State, the Citizen, and the Changing Role of Government Symposium: Individual Rights}, 53 {\\scaps Wm. &amp; Mary L. Rev.} 713 (2011).","plainCitation":"Robin L. West, Tragic Rights: The Rights Critique in the Age of Obama Constitutional Transformations: The State, the Citizen, and the Changing Role of Government Symposium: Individual Rights, 53 Wm. &amp; Mary L. Rev. 713 (2011).","dontUpdate":true,"noteIndex":48},"citationItems":[{"id":4770,"uris":["http://zotero.org/users/14209839/items/BCJWG82Y"],"itemData":{"id":4770,"type":"article-journal","container-title":"William and Mary Law Review","issue":"2","journalAbbreviation":"Wm. &amp; Mary L. Rev.","language":"eng","page":"713-746","source":"HeinOnline","title":"Tragic Rights: The Rights Critique in the Age of Obama Constitutional Transformations: The State, the Citizen, and the Changing Role of Government Symposium: Individual Rights","title-short":"Tragic Rights","volume":"53","author":[{"family":"West","given":"Robin L."}],"issued":{"date-parts":[["2011"]],"season":"2012"},"citation-key":"westTragicRightsRights2011"}}],"schema":"https://github.com/citation-style-language/schema/raw/master/csl-citation.json"} </w:instrText>
      </w:r>
      <w:r>
        <w:fldChar w:fldCharType="separate"/>
      </w:r>
      <w:r w:rsidRPr="00845954">
        <w:rPr>
          <w:rFonts w:cs="Times New Roman"/>
          <w:lang w:val="en-GB"/>
        </w:rPr>
        <w:t xml:space="preserve">Robin L. West, </w:t>
      </w:r>
      <w:r w:rsidRPr="00845954">
        <w:rPr>
          <w:rFonts w:cs="Times New Roman"/>
          <w:i/>
          <w:iCs/>
          <w:lang w:val="en-GB"/>
        </w:rPr>
        <w:t>Tragic Rights: The Rights Critique in the Age of Obama</w:t>
      </w:r>
      <w:r w:rsidRPr="00845954">
        <w:rPr>
          <w:rFonts w:cs="Times New Roman"/>
          <w:lang w:val="en-GB"/>
        </w:rPr>
        <w:t xml:space="preserve">, 53 </w:t>
      </w:r>
      <w:r w:rsidRPr="00845954">
        <w:rPr>
          <w:rFonts w:cs="Times New Roman"/>
          <w:smallCaps/>
          <w:lang w:val="en-GB"/>
        </w:rPr>
        <w:t>Wm. &amp; Mary L. Rev.</w:t>
      </w:r>
      <w:r w:rsidRPr="00845954">
        <w:rPr>
          <w:rFonts w:cs="Times New Roman"/>
          <w:lang w:val="en-GB"/>
        </w:rPr>
        <w:t xml:space="preserve"> 713</w:t>
      </w:r>
      <w:r>
        <w:rPr>
          <w:rFonts w:cs="Times New Roman"/>
          <w:lang w:val="en-GB"/>
        </w:rPr>
        <w:t>, 719-21</w:t>
      </w:r>
      <w:r w:rsidRPr="00845954">
        <w:rPr>
          <w:rFonts w:cs="Times New Roman"/>
          <w:lang w:val="en-GB"/>
        </w:rPr>
        <w:t xml:space="preserve"> (2011).</w:t>
      </w:r>
      <w:r>
        <w:fldChar w:fldCharType="end"/>
      </w:r>
    </w:p>
  </w:footnote>
  <w:footnote w:id="49">
    <w:p w14:paraId="7209F9F5" w14:textId="77777777" w:rsidR="00C82998" w:rsidRDefault="00C82998" w:rsidP="00C82998">
      <w:pPr>
        <w:pStyle w:val="FootnoteText"/>
        <w:jc w:val="both"/>
      </w:pPr>
      <w:r w:rsidRPr="001F71E0">
        <w:rPr>
          <w:rStyle w:val="FootnoteReference"/>
        </w:rPr>
        <w:footnoteRef/>
      </w:r>
      <w:r>
        <w:t xml:space="preserve"> </w:t>
      </w:r>
      <w:r w:rsidRPr="00F92796">
        <w:rPr>
          <w:i/>
          <w:iCs/>
        </w:rPr>
        <w:t>See generally</w:t>
      </w:r>
      <w:r>
        <w:t xml:space="preserve"> </w:t>
      </w:r>
      <w:r>
        <w:fldChar w:fldCharType="begin"/>
      </w:r>
      <w:r>
        <w:instrText xml:space="preserve"> ADDIN ZOTERO_ITEM CSL_CITATION {"citationID":"rx5vnjxY","properties":{"formattedCitation":"Jeremy Waldron, {\\i{}The Core of the Case against Judicial Review Essay}, 115 {\\scaps Yale L.J.} 1346 (2005).","plainCitation":"Jeremy Waldron, The Core of the Case against Judicial Review Essay, 115 Yale L.J. 1346 (2005).","dontUpdate":true,"noteIndex":49},"citationItems":[{"id":4666,"uris":["http://zotero.org/users/14209839/items/SGL39HLB"],"itemData":{"id":4666,"type":"article-journal","container-title":"Yale Law Journal","issue":"6","journalAbbreviation":"Yale L.J.","language":"eng","page":"1346-1407","source":"HeinOnline","title":"The Core of the Case against Judicial Review Essay","volume":"115","author":[{"family":"Waldron","given":"Jeremy"}],"issued":{"date-parts":[["2005"]],"season":"2006"},"citation-key":"waldronCoreCaseJudicial2005"}}],"schema":"https://github.com/citation-style-language/schema/raw/master/csl-citation.json"} </w:instrText>
      </w:r>
      <w:r>
        <w:fldChar w:fldCharType="separate"/>
      </w:r>
      <w:r w:rsidRPr="001A13E9">
        <w:rPr>
          <w:rFonts w:cs="Times New Roman"/>
          <w:lang w:val="en-GB"/>
        </w:rPr>
        <w:t xml:space="preserve">Jeremy Waldron, </w:t>
      </w:r>
      <w:r w:rsidRPr="001A13E9">
        <w:rPr>
          <w:rFonts w:cs="Times New Roman"/>
          <w:i/>
          <w:iCs/>
          <w:lang w:val="en-GB"/>
        </w:rPr>
        <w:t>The Core of the Case against Judicial Review</w:t>
      </w:r>
      <w:r w:rsidRPr="001A13E9">
        <w:rPr>
          <w:rFonts w:cs="Times New Roman"/>
          <w:lang w:val="en-GB"/>
        </w:rPr>
        <w:t xml:space="preserve">, 115 </w:t>
      </w:r>
      <w:r w:rsidRPr="001A13E9">
        <w:rPr>
          <w:rFonts w:cs="Times New Roman"/>
          <w:smallCaps/>
          <w:lang w:val="en-GB"/>
        </w:rPr>
        <w:t>Yale L.</w:t>
      </w:r>
      <w:r>
        <w:rPr>
          <w:rFonts w:cs="Times New Roman"/>
          <w:smallCaps/>
          <w:lang w:val="en-GB"/>
        </w:rPr>
        <w:t xml:space="preserve"> </w:t>
      </w:r>
      <w:r w:rsidRPr="001A13E9">
        <w:rPr>
          <w:rFonts w:cs="Times New Roman"/>
          <w:smallCaps/>
          <w:lang w:val="en-GB"/>
        </w:rPr>
        <w:t>J.</w:t>
      </w:r>
      <w:r w:rsidRPr="001A13E9">
        <w:rPr>
          <w:rFonts w:cs="Times New Roman"/>
          <w:lang w:val="en-GB"/>
        </w:rPr>
        <w:t xml:space="preserve"> 1346 (2005).</w:t>
      </w:r>
      <w:r>
        <w:fldChar w:fldCharType="end"/>
      </w:r>
    </w:p>
  </w:footnote>
  <w:footnote w:id="50">
    <w:p w14:paraId="03C710B6" w14:textId="77777777" w:rsidR="00C82998" w:rsidRDefault="00C82998" w:rsidP="00C82998">
      <w:pPr>
        <w:pStyle w:val="FootnoteText"/>
        <w:jc w:val="both"/>
      </w:pPr>
      <w:r w:rsidRPr="001F71E0">
        <w:rPr>
          <w:rStyle w:val="FootnoteReference"/>
        </w:rPr>
        <w:footnoteRef/>
      </w:r>
      <w:r>
        <w:t xml:space="preserve"> </w:t>
      </w:r>
      <w:r w:rsidRPr="00F92796">
        <w:rPr>
          <w:i/>
          <w:iCs/>
        </w:rPr>
        <w:t>See generally</w:t>
      </w:r>
      <w:r>
        <w:t xml:space="preserve"> </w:t>
      </w:r>
      <w:r>
        <w:fldChar w:fldCharType="begin"/>
      </w:r>
      <w:r>
        <w:instrText xml:space="preserve"> ADDIN ZOTERO_ITEM CSL_CITATION {"citationID":"dTCyMpdY","properties":{"formattedCitation":"Jamal Greene, {\\i{}How Rights Went Wrong: Why Our Obsession with Rights Is Tearing America Apart}, {\\scaps Faculty Books} (2021), https://scholarship.law.columbia.edu/books/302; {\\scaps Rights Talk}, (1993), https://www.simonandschuster.com/books/Rights-Talk/Mary-Ann-Glendon/9780029118238 (last visited May 9, 2024).","plainCitation":"Jamal Greene, How Rights Went Wrong: Why Our Obsession with Rights Is Tearing America Apart, Faculty Books (2021), https://scholarship.law.columbia.edu/books/302; Rights Talk, (1993), https://www.simonandschuster.com/books/Rights-Talk/Mary-Ann-Glendon/9780029118238 (last visited May 9, 2024).","dontUpdate":true,"noteIndex":50},"citationItems":[{"id":4663,"uris":["http://zotero.org/users/14209839/items/H8R96I2L"],"itemData":{"id":4663,"type":"article-journal","container-title":"Faculty Books","title":"How Rights Went Wrong: Why Our Obsession with Rights is Tearing America Apart","title-short":"How Rights Went Wrong","URL":"https://scholarship.law.columbia.edu/books/302","author":[{"family":"Greene","given":"Jamal"}],"issued":{"date-parts":[["2021",3,1]]},"citation-key":"greeneHowRightsWent2021"}},{"id":4664,"uris":["http://zotero.org/users/14209839/items/JDMHBX6M"],"itemData":{"id":4664,"type":"book","abstract":"Political speech in the United States is undergoing a crisis. Glendon's acclaimed book traces the evolution of the strident language of rights in A...","ISBN":"978-0-02-911823-8","language":"en","source":"www.simonandschuster.com","title":"Rights Talk","URL":"https://www.simonandschuster.com/books/Rights-Talk/Mary-Ann-Glendon/9780029118238","accessed":{"date-parts":[["2024",5,9]]},"issued":{"date-parts":[["1993",7,30]]},"citation-key":"RightsTalk1993"}}],"schema":"https://github.com/citation-style-language/schema/raw/master/csl-citation.json"} </w:instrText>
      </w:r>
      <w:r>
        <w:fldChar w:fldCharType="separate"/>
      </w:r>
      <w:r w:rsidRPr="00062E92">
        <w:rPr>
          <w:rFonts w:cs="Times New Roman"/>
          <w:smallCaps/>
          <w:lang w:val="en-GB"/>
        </w:rPr>
        <w:t>Jamal Greene, How Rights Went Wrong: Why Our Obsession with Rights Is Tearing America Apart</w:t>
      </w:r>
      <w:r>
        <w:rPr>
          <w:rFonts w:cs="Times New Roman"/>
          <w:lang w:val="en-GB"/>
        </w:rPr>
        <w:t xml:space="preserve"> </w:t>
      </w:r>
      <w:r w:rsidRPr="00432518">
        <w:rPr>
          <w:rFonts w:cs="Times New Roman"/>
          <w:lang w:val="en-GB"/>
        </w:rPr>
        <w:t>(2021)</w:t>
      </w:r>
      <w:r>
        <w:rPr>
          <w:rFonts w:cs="Times New Roman"/>
          <w:lang w:val="en-GB"/>
        </w:rPr>
        <w:t xml:space="preserve">; </w:t>
      </w:r>
      <w:r w:rsidRPr="00C51B2A">
        <w:rPr>
          <w:rFonts w:cs="Times New Roman"/>
          <w:smallCaps/>
          <w:lang w:val="en-GB"/>
        </w:rPr>
        <w:t>Mary Ann Glendon</w:t>
      </w:r>
      <w:r>
        <w:rPr>
          <w:rFonts w:cs="Times New Roman"/>
          <w:lang w:val="en-GB"/>
        </w:rPr>
        <w:t xml:space="preserve">, </w:t>
      </w:r>
      <w:r w:rsidRPr="00432518">
        <w:rPr>
          <w:rFonts w:cs="Times New Roman"/>
          <w:smallCaps/>
          <w:lang w:val="en-GB"/>
        </w:rPr>
        <w:t>Rights Talk</w:t>
      </w:r>
      <w:r w:rsidRPr="00432518">
        <w:rPr>
          <w:rFonts w:cs="Times New Roman"/>
          <w:lang w:val="en-GB"/>
        </w:rPr>
        <w:t>, (1993).</w:t>
      </w:r>
      <w:r>
        <w:fldChar w:fldCharType="end"/>
      </w:r>
    </w:p>
  </w:footnote>
  <w:footnote w:id="51">
    <w:p w14:paraId="06D8CE64" w14:textId="77777777" w:rsidR="00C82998" w:rsidRPr="00CC0251" w:rsidRDefault="00C82998" w:rsidP="00C82998">
      <w:pPr>
        <w:pStyle w:val="FootnoteText"/>
        <w:jc w:val="both"/>
      </w:pPr>
      <w:r w:rsidRPr="001F71E0">
        <w:rPr>
          <w:rStyle w:val="FootnoteReference"/>
        </w:rPr>
        <w:footnoteRef/>
      </w:r>
      <w:r>
        <w:t xml:space="preserve"> </w:t>
      </w:r>
      <w:r w:rsidRPr="00CC0251">
        <w:rPr>
          <w:i/>
          <w:iCs/>
        </w:rPr>
        <w:t>See</w:t>
      </w:r>
      <w:r>
        <w:rPr>
          <w:i/>
          <w:iCs/>
        </w:rPr>
        <w:t xml:space="preserve">, </w:t>
      </w:r>
      <w:r w:rsidRPr="00CC0251">
        <w:rPr>
          <w:i/>
          <w:iCs/>
        </w:rPr>
        <w:t>e.g.,</w:t>
      </w:r>
      <w:r>
        <w:t xml:space="preserve"> Ziegler, Eichner, &amp; Cahn, </w:t>
      </w:r>
      <w:r>
        <w:rPr>
          <w:i/>
          <w:iCs/>
        </w:rPr>
        <w:t xml:space="preserve">supra </w:t>
      </w:r>
      <w:r>
        <w:t xml:space="preserve">note 10; </w:t>
      </w:r>
      <w:r>
        <w:fldChar w:fldCharType="begin"/>
      </w:r>
      <w:r>
        <w:instrText xml:space="preserve"> ADDIN ZOTERO_ITEM CSL_CITATION {"citationID":"YlRFH90L","properties":{"formattedCitation":"Dailey and Rosenbury, {\\i{}supra} note 14.","plainCitation":"Dailey and Rosenbury, supra note 14.","dontUpdate":true,"noteIndex":51},"citationItems":[{"id":3284,"uris":["http://zotero.org/users/14209839/items/LY9799K7"],"itemData":{"id":3284,"type":"article-journal","container-title":"Yale Law Journal","issue":"6","journalAbbreviation":"Yale L. J.","language":"eng","page":"1448-1537","source":"HeinOnline","title":"The New Law of the Child","volume":"127","author":[{"family":"Dailey","given":"Anne C."},{"family":"Rosenbury","given":"Laura A."}],"issued":{"date-parts":[["2017"]],"season":"2018"},"citation-key":"daileyNewLawChild2017"}}],"schema":"https://github.com/citation-style-language/schema/raw/master/csl-citation.json"} </w:instrText>
      </w:r>
      <w:r>
        <w:fldChar w:fldCharType="separate"/>
      </w:r>
      <w:r w:rsidRPr="00BA3EAA">
        <w:rPr>
          <w:rFonts w:cs="Times New Roman"/>
          <w:lang w:val="en-GB"/>
        </w:rPr>
        <w:t>Dailey and Rosenbury,</w:t>
      </w:r>
      <w:r>
        <w:rPr>
          <w:rFonts w:cs="Times New Roman"/>
          <w:lang w:val="en-GB"/>
        </w:rPr>
        <w:t xml:space="preserve"> New Law,</w:t>
      </w:r>
      <w:r w:rsidRPr="00BA3EAA">
        <w:rPr>
          <w:rFonts w:cs="Times New Roman"/>
          <w:lang w:val="en-GB"/>
        </w:rPr>
        <w:t xml:space="preserve"> </w:t>
      </w:r>
      <w:r w:rsidRPr="00BA3EAA">
        <w:rPr>
          <w:rFonts w:cs="Times New Roman"/>
          <w:i/>
          <w:iCs/>
          <w:lang w:val="en-GB"/>
        </w:rPr>
        <w:t>supra</w:t>
      </w:r>
      <w:r w:rsidRPr="00BA3EAA">
        <w:rPr>
          <w:rFonts w:cs="Times New Roman"/>
          <w:lang w:val="en-GB"/>
        </w:rPr>
        <w:t xml:space="preserve"> note 14.</w:t>
      </w:r>
      <w:r>
        <w:fldChar w:fldCharType="end"/>
      </w:r>
    </w:p>
  </w:footnote>
  <w:footnote w:id="52">
    <w:p w14:paraId="4672959D" w14:textId="77777777" w:rsidR="00C82998" w:rsidRDefault="00C82998" w:rsidP="00C82998">
      <w:pPr>
        <w:pStyle w:val="FootnoteText"/>
        <w:jc w:val="both"/>
      </w:pPr>
      <w:r w:rsidRPr="001F71E0">
        <w:rPr>
          <w:rStyle w:val="FootnoteReference"/>
        </w:rPr>
        <w:footnoteRef/>
      </w:r>
      <w:r>
        <w:t xml:space="preserve"> </w:t>
      </w:r>
      <w:r>
        <w:fldChar w:fldCharType="begin"/>
      </w:r>
      <w:r>
        <w:instrText xml:space="preserve"> ADDIN ZOTERO_ITEM CSL_CITATION {"citationID":"Enr5twdE","properties":{"formattedCitation":"I {\\scaps Konrad Zweigert &amp; Hein Kotz}, {\\scaps An Introduction to Comparative Law} (1977).","plainCitation":"I Konrad Zweigert &amp; Hein Kotz, An Introduction to Comparative Law (1977).","dontUpdate":true,"noteIndex":52},"citationItems":[{"id":3822,"uris":["http://zotero.org/users/14209839/items/XRN54UF8"],"itemData":{"id":3822,"type":"book","title":"An Introduction to Comparative Law","volume":"I","author":[{"family":"Zweigert","given":"Konrad"},{"family":"Kotz","given":"Hein"}],"issued":{"date-parts":[["1977"]]},"citation-key":"zweigertIntroductionComparativeLaw1977"}}],"schema":"https://github.com/citation-style-language/schema/raw/master/csl-citation.json"} </w:instrText>
      </w:r>
      <w:r>
        <w:fldChar w:fldCharType="separate"/>
      </w:r>
      <w:r w:rsidRPr="0087464F">
        <w:rPr>
          <w:rFonts w:cs="Times New Roman"/>
          <w:smallCaps/>
          <w:lang w:val="en-GB"/>
        </w:rPr>
        <w:t xml:space="preserve">Konrad </w:t>
      </w:r>
      <w:proofErr w:type="spellStart"/>
      <w:r w:rsidRPr="0087464F">
        <w:rPr>
          <w:rFonts w:cs="Times New Roman"/>
          <w:smallCaps/>
          <w:lang w:val="en-GB"/>
        </w:rPr>
        <w:t>Zweigert</w:t>
      </w:r>
      <w:proofErr w:type="spellEnd"/>
      <w:r w:rsidRPr="0087464F">
        <w:rPr>
          <w:rFonts w:cs="Times New Roman"/>
          <w:smallCaps/>
          <w:lang w:val="en-GB"/>
        </w:rPr>
        <w:t xml:space="preserve"> &amp; Hein Kotz</w:t>
      </w:r>
      <w:r w:rsidRPr="0087464F">
        <w:rPr>
          <w:rFonts w:cs="Times New Roman"/>
          <w:lang w:val="en-GB"/>
        </w:rPr>
        <w:t xml:space="preserve">, </w:t>
      </w:r>
      <w:r w:rsidRPr="0087464F">
        <w:rPr>
          <w:rFonts w:cs="Times New Roman"/>
          <w:smallCaps/>
          <w:lang w:val="en-GB"/>
        </w:rPr>
        <w:t>An Introduction to Comparative Law</w:t>
      </w:r>
      <w:r>
        <w:rPr>
          <w:rFonts w:cs="Times New Roman"/>
          <w:smallCaps/>
          <w:lang w:val="en-GB"/>
        </w:rPr>
        <w:t xml:space="preserve"> 30-31</w:t>
      </w:r>
      <w:r w:rsidRPr="0087464F">
        <w:rPr>
          <w:rFonts w:cs="Times New Roman"/>
          <w:lang w:val="en-GB"/>
        </w:rPr>
        <w:t xml:space="preserve"> (1977).</w:t>
      </w:r>
      <w:r>
        <w:fldChar w:fldCharType="end"/>
      </w:r>
      <w:r>
        <w:t xml:space="preserve"> </w:t>
      </w:r>
    </w:p>
  </w:footnote>
  <w:footnote w:id="53">
    <w:p w14:paraId="34E28639" w14:textId="77777777" w:rsidR="00C82998" w:rsidRDefault="00C82998" w:rsidP="00C82998">
      <w:pPr>
        <w:pStyle w:val="FootnoteText"/>
        <w:jc w:val="both"/>
      </w:pPr>
      <w:r w:rsidRPr="001F71E0">
        <w:rPr>
          <w:rStyle w:val="FootnoteReference"/>
        </w:rPr>
        <w:footnoteRef/>
      </w:r>
      <w:r>
        <w:t xml:space="preserve"> </w:t>
      </w:r>
      <w:r>
        <w:fldChar w:fldCharType="begin"/>
      </w:r>
      <w:r>
        <w:instrText xml:space="preserve"> ADDIN ZOTERO_ITEM CSL_CITATION {"citationID":"ftdGOzVd","properties":{"formattedCitation":"Janet Halley &amp; Kerry Rittich, {\\i{}Critical Directions in Comparative Family Law: Genealogies and Contemporary Studies of Family Law Exceptionalism}, 58 {\\scaps The American Journal of Comparative Law} 753 (2010); Janet Halley, {\\i{}What Is Family Law?: A Genealogy Part II}, {\\scaps Yale Journal of Law &amp; the Humanities} (2013), https://openyls.law.yale.edu/handle/20.500.13051/7464 (last visited Sep 6, 2022).","plainCitation":"Janet Halley &amp; Kerry Rittich, Critical Directions in Comparative Family Law: Genealogies and Contemporary Studies of Family Law Exceptionalism, 58 The American Journal of Comparative Law 753 (2010); Janet Halley, What Is Family Law?: A Genealogy Part II, Yale Journal of Law &amp; the Humanities (2013), https://openyls.law.yale.edu/handle/20.500.13051/7464 (last visited Sep 6, 2022).","dontUpdate":true,"noteIndex":53},"citationItems":[{"id":3320,"uris":["http://zotero.org/users/14209839/items/AZFZNIDA"],"itemData":{"id":3320,"type":"article-journal","abstract":"This is an Introduction to a Special Issue of the American Journal of Comparative Law, edited by Janet Halley. The central theme of the Special Issue is \"family law exceptionalism\": the myriad ways in which the family and its law are deemed, either descriptively or normatively, to be special. We argue that the nineteenth century emergence of Family Law as a distinct legal topic, influenced inter\nalia by Friedrich Carl von Savigny and carried around the world as part of the influence of German legal thought, was an intrinsic element of the rise of contract as the law of the market. Our comparative approach to this phenomenon in this volume is twofold. First, we think that colonial expansion brought with it the idea of the family I market, family-law I contract-law distinction, and that legal orders around the world emerged in which this distinction played some important role. This is the Genealogical Project, and it occupies essays collected here by Duncan Kennedy, Isabel Sierra Jaramillo, Philomila Tsoukala, and Lama Abu Odeh. Second, we suspend Family Law Exceptionalism in order to study the Economic Family. Historically and in the present context of globalized labor, we emphasize international, regional, and local law as transplanted, intersecting or nested background rule systems in which households form and provide social security, consume, and produce material and other goods. Tsoukala, Abu Odeh, Hila Shamir, Chantal Thomas, and Kerry Rittich provide essays exemplifying this research. The Special Issue begins with an essay by Fernanda Nicola mapping the comparative family law tradition and situating this volume on its critical branch.","container-title":"The American Journal of Comparative Law","DOI":"10.5131/ajcl.2010.0001","ISSN":"0002-919X","issue":"4","journalAbbreviation":"The American Journal of Comparative Law","page":"753-775","source":"Silverchair","title":"Critical Directions in Comparative Family Law: Genealogies and Contemporary Studies of Family Law Exceptionalism","title-short":"Critical Directions in Comparative Family Law","volume":"58","author":[{"family":"Halley","given":"Janet"},{"family":"Rittich","given":"Kerry"}],"issued":{"date-parts":[["2010",10,1]]},"citation-key":"halleyCriticalDirectionsComparative2010"}},{"id":162,"uris":["http://zotero.org/users/14209839/items/TR3TCYFN"],"itemData":{"id":162,"type":"article-journal","abstract":"This Article offers a genealogy of domestic relations law (later renamed family law). It comes in two Parts. Part I is an account of how it emerged as a distinct field in American law in the latter half of the nineteenth century. This Part, Part II, is an account of its successive transformations over the course of the twentieth century. I argue that domestic relations/family law did not always exist; rather, it was invented, and the ideological implications of that act of creation remain embedded in the field today. The central idea which, I argue, recurrently characterizes the field is that the family and its law are the opposites of the market and its law. Born in the middle of the nineteenth century as the notorious status/contract distinction, it has shown amazing powers of resilience, surviving three highly intentional and collectively organized attacks and gathering to itself new ideological and practical implications as the presuppositions about law that permeate legal consciousness have changed and changed again over time.","container-title":"Yale Journal of Law &amp; the Humanities","language":"en","note":"Accepted: 2021-11-26T11:55:54Z","source":"openyls.law.yale.edu","title":"What is Family Law?: A Genealogy Part II","title-short":"What is Family Law?","URL":"https://openyls.law.yale.edu/handle/20.500.13051/7464","author":[{"family":"Halley","given":"Janet"}],"accessed":{"date-parts":[["2022",9,6]]},"issued":{"date-parts":[["2013",5,8]]},"citation-key":"halleyWhatFamilyLaw2013"}}],"schema":"https://github.com/citation-style-language/schema/raw/master/csl-citation.json"} </w:instrText>
      </w:r>
      <w:r>
        <w:fldChar w:fldCharType="separate"/>
      </w:r>
      <w:r w:rsidRPr="00140A3A">
        <w:rPr>
          <w:rFonts w:cs="Times New Roman"/>
          <w:lang w:val="en-GB"/>
        </w:rPr>
        <w:t xml:space="preserve">Janet Halley, </w:t>
      </w:r>
      <w:r w:rsidRPr="00140A3A">
        <w:rPr>
          <w:rFonts w:cs="Times New Roman"/>
          <w:i/>
          <w:iCs/>
          <w:lang w:val="en-GB"/>
        </w:rPr>
        <w:t xml:space="preserve">What Is Family </w:t>
      </w:r>
      <w:proofErr w:type="gramStart"/>
      <w:r w:rsidRPr="00140A3A">
        <w:rPr>
          <w:rFonts w:cs="Times New Roman"/>
          <w:i/>
          <w:iCs/>
          <w:lang w:val="en-GB"/>
        </w:rPr>
        <w:t>Law?:</w:t>
      </w:r>
      <w:proofErr w:type="gramEnd"/>
      <w:r w:rsidRPr="00140A3A">
        <w:rPr>
          <w:rFonts w:cs="Times New Roman"/>
          <w:i/>
          <w:iCs/>
          <w:lang w:val="en-GB"/>
        </w:rPr>
        <w:t xml:space="preserve"> A Genealogy Part II</w:t>
      </w:r>
      <w:r w:rsidRPr="00140A3A">
        <w:rPr>
          <w:rFonts w:cs="Times New Roman"/>
          <w:lang w:val="en-GB"/>
        </w:rPr>
        <w:t xml:space="preserve">, </w:t>
      </w:r>
      <w:r w:rsidRPr="00140A3A">
        <w:rPr>
          <w:rFonts w:cs="Times New Roman"/>
          <w:smallCaps/>
          <w:lang w:val="en-GB"/>
        </w:rPr>
        <w:t>Y</w:t>
      </w:r>
      <w:r>
        <w:rPr>
          <w:rFonts w:cs="Times New Roman"/>
          <w:smallCaps/>
          <w:lang w:val="en-GB"/>
        </w:rPr>
        <w:t>ale.</w:t>
      </w:r>
      <w:r w:rsidRPr="00140A3A">
        <w:rPr>
          <w:rFonts w:cs="Times New Roman"/>
          <w:smallCaps/>
          <w:lang w:val="en-GB"/>
        </w:rPr>
        <w:t xml:space="preserve"> J</w:t>
      </w:r>
      <w:r>
        <w:rPr>
          <w:rFonts w:cs="Times New Roman"/>
          <w:smallCaps/>
          <w:lang w:val="en-GB"/>
        </w:rPr>
        <w:t>.</w:t>
      </w:r>
      <w:r w:rsidRPr="00140A3A">
        <w:rPr>
          <w:rFonts w:cs="Times New Roman"/>
          <w:smallCaps/>
          <w:lang w:val="en-GB"/>
        </w:rPr>
        <w:t xml:space="preserve"> L</w:t>
      </w:r>
      <w:r>
        <w:rPr>
          <w:rFonts w:cs="Times New Roman"/>
          <w:smallCaps/>
          <w:lang w:val="en-GB"/>
        </w:rPr>
        <w:t xml:space="preserve">. &amp; </w:t>
      </w:r>
      <w:r w:rsidRPr="00140A3A">
        <w:rPr>
          <w:rFonts w:cs="Times New Roman"/>
          <w:smallCaps/>
          <w:lang w:val="en-GB"/>
        </w:rPr>
        <w:t>Human</w:t>
      </w:r>
      <w:r>
        <w:rPr>
          <w:rFonts w:cs="Times New Roman"/>
          <w:smallCaps/>
          <w:lang w:val="en-GB"/>
        </w:rPr>
        <w:t>.</w:t>
      </w:r>
      <w:r w:rsidRPr="00140A3A">
        <w:rPr>
          <w:rFonts w:cs="Times New Roman"/>
          <w:lang w:val="en-GB"/>
        </w:rPr>
        <w:t xml:space="preserve"> </w:t>
      </w:r>
      <w:r>
        <w:rPr>
          <w:rFonts w:cs="Times New Roman"/>
          <w:lang w:val="en-GB"/>
        </w:rPr>
        <w:t>284-85</w:t>
      </w:r>
      <w:r w:rsidRPr="00140A3A">
        <w:rPr>
          <w:rFonts w:cs="Times New Roman"/>
          <w:lang w:val="en-GB"/>
        </w:rPr>
        <w:t xml:space="preserve"> (2013)</w:t>
      </w:r>
      <w:r>
        <w:rPr>
          <w:rFonts w:cs="Times New Roman"/>
          <w:lang w:val="en-GB"/>
        </w:rPr>
        <w:t xml:space="preserve">. </w:t>
      </w:r>
      <w:r>
        <w:fldChar w:fldCharType="end"/>
      </w:r>
      <w:r>
        <w:t xml:space="preserve"> </w:t>
      </w:r>
    </w:p>
  </w:footnote>
  <w:footnote w:id="54">
    <w:p w14:paraId="7143F88B" w14:textId="77777777" w:rsidR="00C82998" w:rsidRPr="004B4E28" w:rsidRDefault="00C82998" w:rsidP="00C82998">
      <w:pPr>
        <w:pStyle w:val="FootnoteText"/>
        <w:jc w:val="both"/>
        <w:rPr>
          <w:rFonts w:cs="Times New Roman"/>
        </w:rPr>
      </w:pPr>
      <w:r w:rsidRPr="001F71E0">
        <w:rPr>
          <w:rStyle w:val="FootnoteReference"/>
        </w:rPr>
        <w:footnoteRef/>
      </w:r>
      <w:r>
        <w:t xml:space="preserve"> On the functional method in comparative law, </w:t>
      </w:r>
      <w:r w:rsidRPr="00280568">
        <w:rPr>
          <w:i/>
          <w:iCs/>
        </w:rPr>
        <w:t>see</w:t>
      </w:r>
      <w:r>
        <w:rPr>
          <w:i/>
          <w:iCs/>
        </w:rPr>
        <w:t xml:space="preserve"> generally </w:t>
      </w:r>
      <w:r>
        <w:rPr>
          <w:i/>
          <w:iCs/>
        </w:rPr>
        <w:fldChar w:fldCharType="begin"/>
      </w:r>
      <w:r>
        <w:rPr>
          <w:i/>
          <w:iCs/>
        </w:rPr>
        <w:instrText xml:space="preserve"> ADDIN ZOTERO_ITEM CSL_CITATION {"citationID":"O3uEuPdw","properties":{"formattedCitation":"Ralf Michaels, {\\i{}The Functional Method of Comparative Law}, {\\i{}in} {\\scaps The Oxford Handbook of Comparative Law} 0 (Mathias Reimann &amp; Reinhard Zimmermann eds., 2019), https://doi.org/10.1093/oxfordhb/9780198810230.013.11 (last visited Nov 14, 2023).","plainCitation":"Ralf Michaels, The Functional Method of Comparative Law, in The Oxford Handbook of Comparative Law 0 (Mathias Reimann &amp; Reinhard Zimmermann eds., 2019), https://doi.org/10.1093/oxfordhb/9780198810230.013.11 (last visited Nov 14, 2023).","dontUpdate":true,"noteIndex":54},"citationItems":[{"id":3815,"uris":["http://zotero.org/users/14209839/items/MWG398RH"],"itemData":{"id":3815,"type":"chapter","abstract":"The functional method has become both the mantra and the bête noire of comparative law. For its proponents it is the most, perhaps the only, fruitful method. For its opponents, it represents everything bad about mainstream comparative law. This chapter tries to reconstruct and evaluate functionalist comparative law by placing it within the larger framework of other disciplines, especially the social sciences. Such an interdisciplinary analysis yields three promises. First, the interdisciplinary look makes possible a (re-) construction of a more theoretically grounded functional method of comparative law than is usually presented. Second, the interdisciplinary approach helps formulate and evaluate the concept in order to determine how functional the method really is. Third, comparison with functionalism in other disciplines can reveal what is special about functionalism in comparative law, and why what in other disciplines would rightly be regarded as methodological shortcomings may in fact be fruitful for comparative law. This opens the way to a reformulated functional method of comparative law.","container-title":"The Oxford Handbook of Comparative Law","ISBN":"978-0-19-881023-0","note":"DOI: 10.1093/oxfordhb/9780198810230.013.11","page":"0","publisher":"Oxford University Press","source":"Silverchair","title":"The Functional Method of Comparative Law","URL":"https://doi.org/10.1093/oxfordhb/9780198810230.013.11","author":[{"family":"Michaels","given":"Ralf"}],"editor":[{"family":"Reimann","given":"Mathias"},{"family":"Zimmermann","given":"Reinhard"}],"accessed":{"date-parts":[["2023",11,14]]},"issued":{"date-parts":[["2019",3,21]]},"citation-key":"michaelsFunctionalMethodComparative2019"}}],"schema":"https://github.com/citation-style-language/schema/raw/master/csl-citation.json"} </w:instrText>
      </w:r>
      <w:r>
        <w:rPr>
          <w:i/>
          <w:iCs/>
        </w:rPr>
        <w:fldChar w:fldCharType="separate"/>
      </w:r>
      <w:r w:rsidRPr="009208FC">
        <w:rPr>
          <w:rFonts w:cs="Times New Roman"/>
          <w:lang w:val="en-GB"/>
        </w:rPr>
        <w:t xml:space="preserve">Ralf Michaels, </w:t>
      </w:r>
      <w:r w:rsidRPr="009208FC">
        <w:rPr>
          <w:rFonts w:cs="Times New Roman"/>
          <w:i/>
          <w:iCs/>
          <w:lang w:val="en-GB"/>
        </w:rPr>
        <w:t>The Functional Method of Comparative Law</w:t>
      </w:r>
      <w:r w:rsidRPr="009208FC">
        <w:rPr>
          <w:rFonts w:cs="Times New Roman"/>
          <w:lang w:val="en-GB"/>
        </w:rPr>
        <w:t xml:space="preserve">, </w:t>
      </w:r>
      <w:r w:rsidRPr="009208FC">
        <w:rPr>
          <w:rFonts w:cs="Times New Roman"/>
          <w:i/>
          <w:iCs/>
          <w:lang w:val="en-GB"/>
        </w:rPr>
        <w:t>in</w:t>
      </w:r>
      <w:r w:rsidRPr="009208FC">
        <w:rPr>
          <w:rFonts w:cs="Times New Roman"/>
          <w:lang w:val="en-GB"/>
        </w:rPr>
        <w:t xml:space="preserve"> </w:t>
      </w:r>
      <w:r w:rsidRPr="009208FC">
        <w:rPr>
          <w:rFonts w:cs="Times New Roman"/>
          <w:smallCaps/>
          <w:lang w:val="en-GB"/>
        </w:rPr>
        <w:t>The Oxford Handbook of Comparative Law</w:t>
      </w:r>
      <w:r>
        <w:rPr>
          <w:rFonts w:cs="Times New Roman"/>
          <w:lang w:val="en-GB"/>
        </w:rPr>
        <w:t xml:space="preserve"> 345</w:t>
      </w:r>
      <w:r w:rsidRPr="009208FC">
        <w:rPr>
          <w:rFonts w:cs="Times New Roman"/>
          <w:lang w:val="en-GB"/>
        </w:rPr>
        <w:t xml:space="preserve"> (Mathias Reimann &amp; Reinhard Zimmermann eds.,</w:t>
      </w:r>
      <w:r>
        <w:rPr>
          <w:rFonts w:cs="Times New Roman"/>
          <w:lang w:val="en-GB"/>
        </w:rPr>
        <w:t xml:space="preserve"> 2</w:t>
      </w:r>
      <w:r w:rsidRPr="00141A1B">
        <w:rPr>
          <w:rFonts w:cs="Times New Roman"/>
          <w:vertAlign w:val="superscript"/>
          <w:lang w:val="en-GB"/>
        </w:rPr>
        <w:t>nd</w:t>
      </w:r>
      <w:r>
        <w:rPr>
          <w:rFonts w:cs="Times New Roman"/>
          <w:lang w:val="en-GB"/>
        </w:rPr>
        <w:t xml:space="preserve"> </w:t>
      </w:r>
      <w:proofErr w:type="spellStart"/>
      <w:r>
        <w:rPr>
          <w:rFonts w:cs="Times New Roman"/>
          <w:lang w:val="en-GB"/>
        </w:rPr>
        <w:t>edn</w:t>
      </w:r>
      <w:proofErr w:type="spellEnd"/>
      <w:r>
        <w:rPr>
          <w:rFonts w:cs="Times New Roman"/>
          <w:lang w:val="en-GB"/>
        </w:rPr>
        <w:t>.,</w:t>
      </w:r>
      <w:r w:rsidRPr="009208FC">
        <w:rPr>
          <w:rFonts w:cs="Times New Roman"/>
          <w:lang w:val="en-GB"/>
        </w:rPr>
        <w:t xml:space="preserve"> 2019).</w:t>
      </w:r>
      <w:r>
        <w:rPr>
          <w:i/>
          <w:iCs/>
        </w:rPr>
        <w:fldChar w:fldCharType="end"/>
      </w:r>
      <w:r>
        <w:rPr>
          <w:i/>
          <w:iCs/>
        </w:rPr>
        <w:t xml:space="preserve"> </w:t>
      </w:r>
      <w:r>
        <w:t xml:space="preserve">For how common concepts and similar developments can enable comparative family law, </w:t>
      </w:r>
      <w:r w:rsidRPr="007B7C06">
        <w:rPr>
          <w:i/>
          <w:iCs/>
        </w:rPr>
        <w:t xml:space="preserve">see </w:t>
      </w:r>
      <w:r>
        <w:rPr>
          <w:i/>
          <w:iCs/>
        </w:rPr>
        <w:fldChar w:fldCharType="begin"/>
      </w:r>
      <w:r>
        <w:rPr>
          <w:i/>
          <w:iCs/>
        </w:rPr>
        <w:instrText xml:space="preserve"> ADDIN ZOTERO_ITEM CSL_CITATION {"citationID":"DSxRs2bv","properties":{"formattedCitation":"David Bradley, {\\i{}Comparative Law, Family Law and Common Law}, 23 {\\scaps Oxford Journal of Legal Studies} 127 (2003).","plainCitation":"David Bradley, Comparative Law, Family Law and Common Law, 23 Oxford Journal of Legal Studies 127 (2003).","dontUpdate":true,"noteIndex":54},"citationItems":[{"id":819,"uris":["http://zotero.org/users/14209839/items/I3CRUDWX"],"itemData":{"id":819,"type":"article-journal","container-title":"Oxford Journal of Legal Studies","ISSN":"0143-6503","issue":"1","note":"publisher: Oxford University Press","page":"127-146","source":"JSTOR","title":"Comparative Law, Family Law and Common Law","volume":"23","author":[{"family":"Bradley","given":"David"}],"editor":[{"family":"Katz","given":"S. N."},{"family":"Eekelaar","given":"J."},{"family":"Maclean","given":"M."}],"issued":{"date-parts":[["2003"]]},"citation-key":"bradleyComparativeLawFamily2003"}}],"schema":"https://github.com/citation-style-language/schema/raw/master/csl-citation.json"} </w:instrText>
      </w:r>
      <w:r>
        <w:rPr>
          <w:i/>
          <w:iCs/>
        </w:rPr>
        <w:fldChar w:fldCharType="separate"/>
      </w:r>
      <w:r w:rsidRPr="0083590F">
        <w:rPr>
          <w:rFonts w:cs="Times New Roman"/>
          <w:lang w:val="en-GB"/>
        </w:rPr>
        <w:t xml:space="preserve">David Bradley, </w:t>
      </w:r>
      <w:r w:rsidRPr="0083590F">
        <w:rPr>
          <w:rFonts w:cs="Times New Roman"/>
          <w:i/>
          <w:iCs/>
          <w:lang w:val="en-GB"/>
        </w:rPr>
        <w:t>Comparative Law, Family Law and Common Law</w:t>
      </w:r>
      <w:r w:rsidRPr="0083590F">
        <w:rPr>
          <w:rFonts w:cs="Times New Roman"/>
          <w:lang w:val="en-GB"/>
        </w:rPr>
        <w:t xml:space="preserve">, 23 </w:t>
      </w:r>
      <w:r w:rsidRPr="0083590F">
        <w:rPr>
          <w:rFonts w:cs="Times New Roman"/>
          <w:smallCaps/>
          <w:lang w:val="en-GB"/>
        </w:rPr>
        <w:t>Oxford J</w:t>
      </w:r>
      <w:r>
        <w:rPr>
          <w:rFonts w:cs="Times New Roman"/>
          <w:smallCaps/>
          <w:lang w:val="en-GB"/>
        </w:rPr>
        <w:t xml:space="preserve">. </w:t>
      </w:r>
      <w:r w:rsidRPr="0083590F">
        <w:rPr>
          <w:rFonts w:cs="Times New Roman"/>
          <w:smallCaps/>
          <w:lang w:val="en-GB"/>
        </w:rPr>
        <w:t>Leg</w:t>
      </w:r>
      <w:r>
        <w:rPr>
          <w:rFonts w:cs="Times New Roman"/>
          <w:smallCaps/>
          <w:lang w:val="en-GB"/>
        </w:rPr>
        <w:t xml:space="preserve">al </w:t>
      </w:r>
      <w:r w:rsidRPr="0083590F">
        <w:rPr>
          <w:rFonts w:cs="Times New Roman"/>
          <w:smallCaps/>
          <w:lang w:val="en-GB"/>
        </w:rPr>
        <w:t>Stu</w:t>
      </w:r>
      <w:r>
        <w:rPr>
          <w:rFonts w:cs="Times New Roman"/>
          <w:smallCaps/>
          <w:lang w:val="en-GB"/>
        </w:rPr>
        <w:t>d.</w:t>
      </w:r>
      <w:r w:rsidRPr="0083590F">
        <w:rPr>
          <w:rFonts w:cs="Times New Roman"/>
          <w:lang w:val="en-GB"/>
        </w:rPr>
        <w:t xml:space="preserve"> 127</w:t>
      </w:r>
      <w:r>
        <w:rPr>
          <w:rFonts w:cs="Times New Roman"/>
          <w:lang w:val="en-GB"/>
        </w:rPr>
        <w:t>, 145</w:t>
      </w:r>
      <w:r w:rsidRPr="0083590F">
        <w:rPr>
          <w:rFonts w:cs="Times New Roman"/>
          <w:lang w:val="en-GB"/>
        </w:rPr>
        <w:t xml:space="preserve"> (2003)</w:t>
      </w:r>
      <w:r>
        <w:rPr>
          <w:rFonts w:cs="Times New Roman"/>
          <w:lang w:val="en-GB"/>
        </w:rPr>
        <w:t xml:space="preserve">; </w:t>
      </w:r>
      <w:r>
        <w:rPr>
          <w:i/>
          <w:iCs/>
        </w:rPr>
        <w:fldChar w:fldCharType="end"/>
      </w:r>
      <w:r>
        <w:t xml:space="preserve">David Bradley, </w:t>
      </w:r>
      <w:r w:rsidRPr="002A04D8">
        <w:rPr>
          <w:i/>
          <w:iCs/>
        </w:rPr>
        <w:t>A Note on Comparative Family Law: Problems, Perspectives, Issues and Politics</w:t>
      </w:r>
      <w:r>
        <w:t xml:space="preserve">, </w:t>
      </w:r>
      <w:r w:rsidRPr="002A04D8">
        <w:rPr>
          <w:smallCaps/>
        </w:rPr>
        <w:t>Oxford U</w:t>
      </w:r>
      <w:r>
        <w:rPr>
          <w:smallCaps/>
        </w:rPr>
        <w:t>.</w:t>
      </w:r>
      <w:r w:rsidRPr="002A04D8">
        <w:rPr>
          <w:smallCaps/>
        </w:rPr>
        <w:t xml:space="preserve"> Compar</w:t>
      </w:r>
      <w:r>
        <w:rPr>
          <w:smallCaps/>
        </w:rPr>
        <w:t>.</w:t>
      </w:r>
      <w:r w:rsidRPr="002A04D8">
        <w:rPr>
          <w:smallCaps/>
        </w:rPr>
        <w:t xml:space="preserve"> L. F</w:t>
      </w:r>
      <w:r>
        <w:rPr>
          <w:smallCaps/>
        </w:rPr>
        <w:t>.</w:t>
      </w:r>
      <w:r>
        <w:t xml:space="preserve"> 4 (2005), </w:t>
      </w:r>
      <w:r w:rsidRPr="00411D5D">
        <w:t>https://ouclf.law.ox.ac.uk/a-note-on-comparative-family-law-problems-perspectives-issues-and-politics/#fn76sym</w:t>
      </w:r>
      <w:r>
        <w:t xml:space="preserve"> (last visited Jan. 20, 2025)</w:t>
      </w:r>
      <w:r>
        <w:rPr>
          <w:rFonts w:cs="Times New Roman"/>
          <w:color w:val="444444"/>
          <w:shd w:val="clear" w:color="auto" w:fill="FFFFFF"/>
        </w:rPr>
        <w:t xml:space="preserve">. </w:t>
      </w:r>
    </w:p>
  </w:footnote>
  <w:footnote w:id="55">
    <w:p w14:paraId="57A2E368" w14:textId="77777777" w:rsidR="00C82998" w:rsidRDefault="00C82998" w:rsidP="00C82998">
      <w:pPr>
        <w:pStyle w:val="FootnoteText"/>
        <w:jc w:val="both"/>
      </w:pPr>
      <w:r w:rsidRPr="001F71E0">
        <w:rPr>
          <w:rStyle w:val="FootnoteReference"/>
        </w:rPr>
        <w:footnoteRef/>
      </w:r>
      <w:r>
        <w:t xml:space="preserve"> Therefore, another way of comparing American and English law would be to attempt to explain the divergences in American law. For scholarship that focuses on comparative legal cultures, </w:t>
      </w:r>
      <w:r w:rsidRPr="00830841">
        <w:rPr>
          <w:i/>
          <w:iCs/>
        </w:rPr>
        <w:t>see</w:t>
      </w:r>
      <w:r>
        <w:t xml:space="preserve">, </w:t>
      </w:r>
      <w:r w:rsidRPr="00830841">
        <w:rPr>
          <w:i/>
          <w:iCs/>
        </w:rPr>
        <w:t xml:space="preserve">e.g., </w:t>
      </w:r>
      <w:r>
        <w:fldChar w:fldCharType="begin"/>
      </w:r>
      <w:r>
        <w:instrText xml:space="preserve"> ADDIN ZOTERO_ITEM CSL_CITATION {"citationID":"sTczzLfS","properties":{"formattedCitation":"James Q. Whitman, {\\i{}The Two Western Cultures of Privacy: Dignity versus Liberty}, 113 {\\scaps Yale L.J.} 1151 (2003).","plainCitation":"James Q. Whitman, The Two Western Cultures of Privacy: Dignity versus Liberty, 113 Yale L.J. 1151 (2003).","dontUpdate":true,"noteIndex":55},"citationItems":[{"id":4119,"uris":["http://zotero.org/users/14209839/items/BL5X39MZ"],"itemData":{"id":4119,"type":"article-journal","container-title":"Yale Law Journal","issue":"6","journalAbbreviation":"Yale L.J.","language":"eng","page":"1151-1222","source":"HeinOnline","title":"The Two Western Cultures of Privacy: Dignity versus Liberty","title-short":"The Two Western Cultures of Privacy","volume":"113","author":[{"family":"Whitman","given":"James Q."}],"issued":{"date-parts":[["2003"]],"season":"2004"},"citation-key":"whitmanTwoWesternCultures2003"}}],"schema":"https://github.com/citation-style-language/schema/raw/master/csl-citation.json"} </w:instrText>
      </w:r>
      <w:r>
        <w:fldChar w:fldCharType="separate"/>
      </w:r>
      <w:r w:rsidRPr="00C74E07">
        <w:rPr>
          <w:rFonts w:cs="Times New Roman"/>
          <w:lang w:val="en-GB"/>
        </w:rPr>
        <w:t xml:space="preserve">James Q. Whitman, </w:t>
      </w:r>
      <w:r w:rsidRPr="00C74E07">
        <w:rPr>
          <w:rFonts w:cs="Times New Roman"/>
          <w:i/>
          <w:iCs/>
          <w:lang w:val="en-GB"/>
        </w:rPr>
        <w:t>The Two Western Cultures of Privacy: Dignity versus Liberty</w:t>
      </w:r>
      <w:r w:rsidRPr="00C74E07">
        <w:rPr>
          <w:rFonts w:cs="Times New Roman"/>
          <w:lang w:val="en-GB"/>
        </w:rPr>
        <w:t xml:space="preserve">, 113 </w:t>
      </w:r>
      <w:r w:rsidRPr="00C74E07">
        <w:rPr>
          <w:rFonts w:cs="Times New Roman"/>
          <w:smallCaps/>
          <w:lang w:val="en-GB"/>
        </w:rPr>
        <w:t>Yale L.J.</w:t>
      </w:r>
      <w:r w:rsidRPr="00C74E07">
        <w:rPr>
          <w:rFonts w:cs="Times New Roman"/>
          <w:lang w:val="en-GB"/>
        </w:rPr>
        <w:t xml:space="preserve"> 1151 (2003)</w:t>
      </w:r>
      <w:r>
        <w:rPr>
          <w:rFonts w:cs="Times New Roman"/>
          <w:lang w:val="en-GB"/>
        </w:rPr>
        <w:t>.</w:t>
      </w:r>
      <w:r>
        <w:fldChar w:fldCharType="end"/>
      </w:r>
    </w:p>
  </w:footnote>
  <w:footnote w:id="56">
    <w:p w14:paraId="1EFAF0D0" w14:textId="77777777" w:rsidR="00C82998" w:rsidRPr="0000216D" w:rsidRDefault="00C82998" w:rsidP="00C82998">
      <w:pPr>
        <w:pStyle w:val="FootnoteText"/>
        <w:jc w:val="both"/>
      </w:pPr>
      <w:r w:rsidRPr="001F71E0">
        <w:rPr>
          <w:rStyle w:val="FootnoteReference"/>
        </w:rPr>
        <w:footnoteRef/>
      </w:r>
      <w:r>
        <w:t xml:space="preserve"> Edited volumes often focus on English and American law but rarely undertake meaningful comparative analysis, </w:t>
      </w:r>
      <w:r w:rsidRPr="00FC29A9">
        <w:rPr>
          <w:i/>
          <w:iCs/>
        </w:rPr>
        <w:t>see</w:t>
      </w:r>
      <w:r>
        <w:rPr>
          <w:i/>
          <w:iCs/>
        </w:rPr>
        <w:t>,</w:t>
      </w:r>
      <w:r>
        <w:t xml:space="preserve"> </w:t>
      </w:r>
      <w:r w:rsidRPr="00FC29A9">
        <w:rPr>
          <w:i/>
          <w:iCs/>
        </w:rPr>
        <w:t>e.g.,</w:t>
      </w:r>
      <w:r>
        <w:t xml:space="preserve"> </w:t>
      </w:r>
      <w:r>
        <w:fldChar w:fldCharType="begin"/>
      </w:r>
      <w:r>
        <w:instrText xml:space="preserve"> ADDIN ZOTERO_ITEM CSL_CITATION {"citationID":"gcVeO4i1","properties":{"formattedCitation":"Huntington, Joslin, and Bary, {\\i{}supra} note 29.","plainCitation":"Huntington, Joslin, and Bary, supra note 29.","dontUpdate":true,"noteIndex":56},"citationItems":[{"id":3480,"uris":["http://zotero.org/users/14209839/items/22LVV4WK"],"itemData":{"id":3480,"type":"chapter","abstract":"Conclusion: The Future of Social Parenthood was published in Social Parenthood in Comparative Perspective on page 231.","container-title":"Conclusion: The Future of Social Parenthood","ISBN":"978-1-4798-1413-8","language":"en","license":"De Gruyter expressly reserves the right to use all content for commercial text and data mining within the meaning of Section 44b of the German Copyright Act.","note":"DOI: 10.18574/nyu/9781479814138.003.0017","page":"231-242","publisher":"New York University Press","source":"www.degruyter.com","title":"Conclusion: The Future of Social Parenthood","title-short":"Conclusion","URL":"https://www.degruyter.com/document/doi/10.18574/nyu/9781479814138.003.0017/html","author":[{"family":"Huntington","given":"Clare"},{"family":"Joslin","given":"Courtney G."},{"family":"Bary","given":"Christiane","dropping-particle":"von"}],"accessed":{"date-parts":[["2023",8,9]]},"issued":{"date-parts":[["2023",7,12]]},"citation-key":"huntingtonConclusionFutureSocial2023"}}],"schema":"https://github.com/citation-style-language/schema/raw/master/csl-citation.json"} </w:instrText>
      </w:r>
      <w:r>
        <w:fldChar w:fldCharType="separate"/>
      </w:r>
      <w:r w:rsidRPr="002F0F04">
        <w:rPr>
          <w:rFonts w:cs="Times New Roman"/>
          <w:lang w:val="en-GB"/>
        </w:rPr>
        <w:t xml:space="preserve">Huntington, Joslin, and Bary, </w:t>
      </w:r>
      <w:r w:rsidRPr="002F0F04">
        <w:rPr>
          <w:rFonts w:cs="Times New Roman"/>
          <w:i/>
          <w:iCs/>
          <w:lang w:val="en-GB"/>
        </w:rPr>
        <w:t>supra</w:t>
      </w:r>
      <w:r w:rsidRPr="002F0F04">
        <w:rPr>
          <w:rFonts w:cs="Times New Roman"/>
          <w:lang w:val="en-GB"/>
        </w:rPr>
        <w:t xml:space="preserve"> note 29</w:t>
      </w:r>
      <w:r>
        <w:rPr>
          <w:rFonts w:cs="Times New Roman"/>
          <w:lang w:val="en-GB"/>
        </w:rPr>
        <w:t>;</w:t>
      </w:r>
      <w:r>
        <w:fldChar w:fldCharType="end"/>
      </w:r>
      <w:r>
        <w:t xml:space="preserve"> </w:t>
      </w:r>
      <w:r w:rsidRPr="005E3C8C">
        <w:rPr>
          <w:smallCaps/>
        </w:rPr>
        <w:t>Family Law in Britain and America in the New Century</w:t>
      </w:r>
      <w:r>
        <w:t xml:space="preserve"> (John </w:t>
      </w:r>
      <w:proofErr w:type="spellStart"/>
      <w:r>
        <w:t>Eekelaar</w:t>
      </w:r>
      <w:proofErr w:type="spellEnd"/>
      <w:r>
        <w:t xml:space="preserve"> ed., 2016); </w:t>
      </w:r>
      <w:r w:rsidRPr="005E3C8C">
        <w:rPr>
          <w:smallCaps/>
        </w:rPr>
        <w:t>Cross Currents: Family Law and Policy in the United States and England</w:t>
      </w:r>
      <w:r>
        <w:t xml:space="preserve"> (Sanford N. Katz, John </w:t>
      </w:r>
      <w:proofErr w:type="spellStart"/>
      <w:r>
        <w:t>Eekleaar</w:t>
      </w:r>
      <w:proofErr w:type="spellEnd"/>
      <w:r>
        <w:t xml:space="preserve">, Mavis Maclean eds., 2000). For exceptions from this trend see </w:t>
      </w:r>
      <w:r w:rsidRPr="00252E8B">
        <w:rPr>
          <w:rFonts w:cs="Times New Roman"/>
          <w:lang w:val="en-GB"/>
        </w:rPr>
        <w:t xml:space="preserve">Emily Buss &amp; Mavis Maclean, </w:t>
      </w:r>
      <w:r w:rsidRPr="00252E8B">
        <w:rPr>
          <w:rFonts w:cs="Times New Roman"/>
          <w:i/>
          <w:iCs/>
          <w:lang w:val="en-GB"/>
        </w:rPr>
        <w:t>Law and Child Development in the UK and the US</w:t>
      </w:r>
      <w:r w:rsidRPr="00252E8B">
        <w:rPr>
          <w:rFonts w:cs="Times New Roman"/>
          <w:lang w:val="en-GB"/>
        </w:rPr>
        <w:t xml:space="preserve">, 6 </w:t>
      </w:r>
      <w:r w:rsidRPr="00252E8B">
        <w:rPr>
          <w:rFonts w:cs="Times New Roman"/>
          <w:smallCaps/>
          <w:lang w:val="en-GB"/>
        </w:rPr>
        <w:t>J</w:t>
      </w:r>
      <w:r>
        <w:rPr>
          <w:rFonts w:cs="Times New Roman"/>
          <w:smallCaps/>
          <w:lang w:val="en-GB"/>
        </w:rPr>
        <w:t>.</w:t>
      </w:r>
      <w:r w:rsidRPr="00252E8B">
        <w:rPr>
          <w:rFonts w:cs="Times New Roman"/>
          <w:smallCaps/>
          <w:lang w:val="en-GB"/>
        </w:rPr>
        <w:t xml:space="preserve"> Children’s Services</w:t>
      </w:r>
      <w:r w:rsidRPr="00252E8B">
        <w:rPr>
          <w:rFonts w:cs="Times New Roman"/>
          <w:lang w:val="en-GB"/>
        </w:rPr>
        <w:t xml:space="preserve"> 236 (2011)</w:t>
      </w:r>
      <w:r>
        <w:rPr>
          <w:rFonts w:cs="Times New Roman"/>
          <w:lang w:val="en-GB"/>
        </w:rPr>
        <w:t xml:space="preserve"> and for older work see Glendon, </w:t>
      </w:r>
      <w:r>
        <w:rPr>
          <w:rFonts w:cs="Times New Roman"/>
          <w:i/>
          <w:iCs/>
          <w:lang w:val="en-GB"/>
        </w:rPr>
        <w:t xml:space="preserve">supra </w:t>
      </w:r>
      <w:r>
        <w:rPr>
          <w:rFonts w:cs="Times New Roman"/>
          <w:lang w:val="en-GB"/>
        </w:rPr>
        <w:t xml:space="preserve">note 25.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98"/>
    <w:rsid w:val="000B3F2E"/>
    <w:rsid w:val="003523E2"/>
    <w:rsid w:val="00554840"/>
    <w:rsid w:val="006669EB"/>
    <w:rsid w:val="008D3D29"/>
    <w:rsid w:val="00A043A8"/>
    <w:rsid w:val="00A5055A"/>
    <w:rsid w:val="00A8048A"/>
    <w:rsid w:val="00C82998"/>
    <w:rsid w:val="00CF7058"/>
    <w:rsid w:val="00DA55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414DCB1"/>
  <w15:chartTrackingRefBased/>
  <w15:docId w15:val="{BB3D97D2-7DF2-D940-8EE8-48945F8A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98"/>
    <w:rPr>
      <w:rFonts w:ascii="Times New Roman" w:hAnsi="Times New Roman"/>
      <w:lang w:val="en-US"/>
    </w:rPr>
  </w:style>
  <w:style w:type="paragraph" w:styleId="Heading1">
    <w:name w:val="heading 1"/>
    <w:basedOn w:val="Normal"/>
    <w:next w:val="Normal"/>
    <w:link w:val="Heading1Char"/>
    <w:uiPriority w:val="9"/>
    <w:qFormat/>
    <w:rsid w:val="00C82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99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99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8299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8299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8299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8299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8299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98"/>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C82998"/>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C82998"/>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C82998"/>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C82998"/>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C82998"/>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C82998"/>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C82998"/>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C82998"/>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C829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998"/>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C8299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998"/>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C829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2998"/>
    <w:rPr>
      <w:rFonts w:ascii="Times New Roman" w:hAnsi="Times New Roman"/>
      <w:i/>
      <w:iCs/>
      <w:color w:val="404040" w:themeColor="text1" w:themeTint="BF"/>
      <w:lang w:val="en-US"/>
    </w:rPr>
  </w:style>
  <w:style w:type="paragraph" w:styleId="ListParagraph">
    <w:name w:val="List Paragraph"/>
    <w:basedOn w:val="Normal"/>
    <w:uiPriority w:val="34"/>
    <w:qFormat/>
    <w:rsid w:val="00C82998"/>
    <w:pPr>
      <w:ind w:left="720"/>
      <w:contextualSpacing/>
    </w:pPr>
  </w:style>
  <w:style w:type="character" w:styleId="IntenseEmphasis">
    <w:name w:val="Intense Emphasis"/>
    <w:basedOn w:val="DefaultParagraphFont"/>
    <w:uiPriority w:val="21"/>
    <w:qFormat/>
    <w:rsid w:val="00C82998"/>
    <w:rPr>
      <w:i/>
      <w:iCs/>
      <w:color w:val="0F4761" w:themeColor="accent1" w:themeShade="BF"/>
    </w:rPr>
  </w:style>
  <w:style w:type="paragraph" w:styleId="IntenseQuote">
    <w:name w:val="Intense Quote"/>
    <w:basedOn w:val="Normal"/>
    <w:next w:val="Normal"/>
    <w:link w:val="IntenseQuoteChar"/>
    <w:uiPriority w:val="30"/>
    <w:qFormat/>
    <w:rsid w:val="00C82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998"/>
    <w:rPr>
      <w:rFonts w:ascii="Times New Roman" w:hAnsi="Times New Roman"/>
      <w:i/>
      <w:iCs/>
      <w:color w:val="0F4761" w:themeColor="accent1" w:themeShade="BF"/>
      <w:lang w:val="en-US"/>
    </w:rPr>
  </w:style>
  <w:style w:type="character" w:styleId="IntenseReference">
    <w:name w:val="Intense Reference"/>
    <w:basedOn w:val="DefaultParagraphFont"/>
    <w:uiPriority w:val="32"/>
    <w:qFormat/>
    <w:rsid w:val="00C82998"/>
    <w:rPr>
      <w:b/>
      <w:bCs/>
      <w:smallCaps/>
      <w:color w:val="0F4761" w:themeColor="accent1" w:themeShade="BF"/>
      <w:spacing w:val="5"/>
    </w:rPr>
  </w:style>
  <w:style w:type="paragraph" w:styleId="FootnoteText">
    <w:name w:val="footnote text"/>
    <w:basedOn w:val="Normal"/>
    <w:link w:val="FootnoteTextChar"/>
    <w:uiPriority w:val="99"/>
    <w:unhideWhenUsed/>
    <w:rsid w:val="00C82998"/>
    <w:rPr>
      <w:sz w:val="20"/>
      <w:szCs w:val="20"/>
    </w:rPr>
  </w:style>
  <w:style w:type="character" w:customStyle="1" w:styleId="FootnoteTextChar">
    <w:name w:val="Footnote Text Char"/>
    <w:basedOn w:val="DefaultParagraphFont"/>
    <w:link w:val="FootnoteText"/>
    <w:uiPriority w:val="99"/>
    <w:rsid w:val="00C82998"/>
    <w:rPr>
      <w:rFonts w:ascii="Times New Roman" w:hAnsi="Times New Roman"/>
      <w:sz w:val="20"/>
      <w:szCs w:val="20"/>
      <w:lang w:val="en-US"/>
    </w:rPr>
  </w:style>
  <w:style w:type="character" w:styleId="FootnoteReference">
    <w:name w:val="footnote reference"/>
    <w:aliases w:val="a Footnote Reference,FZ,Ref,de nota al pie,Style 18"/>
    <w:basedOn w:val="DefaultParagraphFont"/>
    <w:uiPriority w:val="99"/>
    <w:unhideWhenUsed/>
    <w:qFormat/>
    <w:rsid w:val="00C82998"/>
    <w:rPr>
      <w:vertAlign w:val="superscript"/>
    </w:rPr>
  </w:style>
  <w:style w:type="character" w:styleId="Hyperlink">
    <w:name w:val="Hyperlink"/>
    <w:basedOn w:val="DefaultParagraphFont"/>
    <w:uiPriority w:val="99"/>
    <w:unhideWhenUsed/>
    <w:rsid w:val="00C82998"/>
    <w:rPr>
      <w:color w:val="467886" w:themeColor="hyperlink"/>
      <w:u w:val="single"/>
    </w:rPr>
  </w:style>
  <w:style w:type="paragraph" w:styleId="TOCHeading">
    <w:name w:val="TOC Heading"/>
    <w:basedOn w:val="Heading1"/>
    <w:next w:val="Normal"/>
    <w:uiPriority w:val="39"/>
    <w:unhideWhenUsed/>
    <w:qFormat/>
    <w:rsid w:val="00C82998"/>
    <w:pPr>
      <w:spacing w:before="480" w:after="0" w:line="276" w:lineRule="auto"/>
      <w:outlineLvl w:val="9"/>
    </w:pPr>
    <w:rPr>
      <w:b/>
      <w:bCs/>
      <w:sz w:val="28"/>
      <w:szCs w:val="28"/>
    </w:rPr>
  </w:style>
  <w:style w:type="paragraph" w:styleId="TOC1">
    <w:name w:val="toc 1"/>
    <w:basedOn w:val="Normal"/>
    <w:next w:val="Normal"/>
    <w:autoRedefine/>
    <w:uiPriority w:val="39"/>
    <w:unhideWhenUsed/>
    <w:rsid w:val="00C82998"/>
    <w:pPr>
      <w:spacing w:before="120"/>
    </w:pPr>
    <w:rPr>
      <w:rFonts w:asciiTheme="minorHAnsi" w:hAnsiTheme="minorHAnsi"/>
      <w:b/>
      <w:bCs/>
      <w:i/>
      <w:iCs/>
    </w:rPr>
  </w:style>
  <w:style w:type="paragraph" w:styleId="TOC2">
    <w:name w:val="toc 2"/>
    <w:basedOn w:val="Normal"/>
    <w:next w:val="Normal"/>
    <w:autoRedefine/>
    <w:uiPriority w:val="39"/>
    <w:unhideWhenUsed/>
    <w:rsid w:val="00C82998"/>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C82998"/>
    <w:pPr>
      <w:ind w:left="48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2636</Words>
  <Characters>15028</Characters>
  <Application>Microsoft Office Word</Application>
  <DocSecurity>0</DocSecurity>
  <Lines>125</Lines>
  <Paragraphs>35</Paragraphs>
  <ScaleCrop>false</ScaleCrop>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Akshat Agarwal</dc:creator>
  <cp:keywords/>
  <dc:description/>
  <cp:lastModifiedBy>Akshat Agarwal</cp:lastModifiedBy>
  <cp:revision>1</cp:revision>
  <dcterms:created xsi:type="dcterms:W3CDTF">2025-02-22T22:57:00Z</dcterms:created>
  <dcterms:modified xsi:type="dcterms:W3CDTF">2025-02-22T23:00:00Z</dcterms:modified>
</cp:coreProperties>
</file>